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DB47" w14:textId="77777777" w:rsidR="00A40F78" w:rsidRPr="00A40F78" w:rsidRDefault="00A40F78" w:rsidP="00A40F78">
      <w:pPr>
        <w:rPr>
          <w:rFonts w:ascii="Arial" w:hAnsi="Arial" w:cs="Arial"/>
          <w:b/>
          <w:bCs/>
          <w:lang w:val="en-US"/>
        </w:rPr>
      </w:pPr>
      <w:r w:rsidRPr="00A40F78">
        <w:rPr>
          <w:rFonts w:ascii="Arial" w:hAnsi="Arial" w:cs="Arial"/>
          <w:b/>
          <w:bCs/>
          <w:lang w:val="en-US"/>
        </w:rPr>
        <w:t>CRTC INTERCONNECTION STEERING COMMITTEE</w:t>
      </w:r>
    </w:p>
    <w:p w14:paraId="26BF2E5A" w14:textId="77777777" w:rsidR="00A40F78" w:rsidRPr="00A40F78" w:rsidRDefault="00A40F78" w:rsidP="00A40F78">
      <w:pPr>
        <w:rPr>
          <w:rFonts w:ascii="Arial" w:hAnsi="Arial" w:cs="Arial"/>
          <w:b/>
          <w:bCs/>
          <w:lang w:val="en-US"/>
        </w:rPr>
      </w:pPr>
      <w:r w:rsidRPr="00A40F78">
        <w:rPr>
          <w:rFonts w:ascii="Arial" w:hAnsi="Arial" w:cs="Arial"/>
          <w:b/>
          <w:bCs/>
          <w:u w:val="single"/>
          <w:lang w:val="en-US"/>
        </w:rPr>
        <w:t>TIF REPORT</w:t>
      </w:r>
    </w:p>
    <w:p w14:paraId="0F61FA68" w14:textId="54FB805E" w:rsidR="00A40F78" w:rsidRPr="00A40F78" w:rsidRDefault="00A40F78" w:rsidP="00A40F78">
      <w:pPr>
        <w:rPr>
          <w:rFonts w:ascii="Arial" w:hAnsi="Arial" w:cs="Arial"/>
          <w:b/>
          <w:bCs/>
          <w:lang w:val="en-US"/>
        </w:rPr>
      </w:pPr>
      <w:r w:rsidRPr="00A40F78">
        <w:rPr>
          <w:rFonts w:ascii="Arial" w:hAnsi="Arial" w:cs="Arial"/>
          <w:b/>
          <w:bCs/>
          <w:lang w:val="en-US"/>
        </w:rPr>
        <w:t>Date Submitted:              </w:t>
      </w:r>
      <w:r w:rsidR="00473BA6">
        <w:rPr>
          <w:rFonts w:ascii="Arial" w:hAnsi="Arial" w:cs="Arial"/>
          <w:b/>
          <w:bCs/>
          <w:lang w:val="en-US"/>
        </w:rPr>
        <w:t>12</w:t>
      </w:r>
      <w:r w:rsidR="00473BA6">
        <w:rPr>
          <w:rFonts w:ascii="Arial" w:hAnsi="Arial" w:cs="Arial"/>
          <w:b/>
          <w:bCs/>
          <w:lang w:val="en-US"/>
        </w:rPr>
        <w:t xml:space="preserve"> June 2025</w:t>
      </w:r>
    </w:p>
    <w:p w14:paraId="3CD014BD" w14:textId="47A23C94" w:rsidR="00A40F78" w:rsidRPr="00A40F78" w:rsidRDefault="00A40F78" w:rsidP="00A40F78">
      <w:pPr>
        <w:rPr>
          <w:rFonts w:ascii="Arial" w:hAnsi="Arial" w:cs="Arial"/>
          <w:b/>
          <w:bCs/>
          <w:lang w:val="en-US"/>
        </w:rPr>
      </w:pPr>
      <w:r w:rsidRPr="00A40F78">
        <w:rPr>
          <w:rFonts w:ascii="Arial" w:hAnsi="Arial" w:cs="Arial"/>
          <w:b/>
          <w:bCs/>
          <w:lang w:val="en-US"/>
        </w:rPr>
        <w:t>WORKING GROUP:</w:t>
      </w:r>
      <w:r>
        <w:rPr>
          <w:rFonts w:ascii="Arial" w:hAnsi="Arial" w:cs="Arial"/>
          <w:b/>
          <w:bCs/>
          <w:lang w:val="en-US"/>
        </w:rPr>
        <w:tab/>
        <w:t>CSCN</w:t>
      </w:r>
    </w:p>
    <w:p w14:paraId="15B86FE7" w14:textId="1D9EA3B4" w:rsidR="00A40F78" w:rsidRPr="00A40F78" w:rsidRDefault="00A40F78" w:rsidP="00A40F78">
      <w:pPr>
        <w:rPr>
          <w:rFonts w:ascii="Arial" w:hAnsi="Arial" w:cs="Arial"/>
          <w:b/>
          <w:bCs/>
          <w:lang w:val="en-US"/>
        </w:rPr>
      </w:pPr>
      <w:r w:rsidRPr="00A40F78">
        <w:rPr>
          <w:rFonts w:ascii="Arial" w:hAnsi="Arial" w:cs="Arial"/>
          <w:b/>
          <w:bCs/>
          <w:lang w:val="en-US"/>
        </w:rPr>
        <w:t>REPORT #:        </w:t>
      </w:r>
      <w:r w:rsidR="002C3774">
        <w:rPr>
          <w:rFonts w:ascii="Arial" w:hAnsi="Arial" w:cs="Arial"/>
          <w:b/>
          <w:bCs/>
          <w:lang w:val="en-US"/>
        </w:rPr>
        <w:t>152A</w:t>
      </w:r>
      <w:r w:rsidR="002C3774" w:rsidRPr="00A40F78">
        <w:rPr>
          <w:rFonts w:ascii="Arial" w:hAnsi="Arial" w:cs="Arial"/>
          <w:b/>
          <w:bCs/>
          <w:lang w:val="en-US"/>
        </w:rPr>
        <w:t>                                     </w:t>
      </w:r>
      <w:r w:rsidRPr="00A40F78">
        <w:rPr>
          <w:rFonts w:ascii="Arial" w:hAnsi="Arial" w:cs="Arial"/>
          <w:b/>
          <w:bCs/>
          <w:lang w:val="en-US"/>
        </w:rPr>
        <w:t>File ID:</w:t>
      </w:r>
      <w:r w:rsidR="00743F02">
        <w:rPr>
          <w:rFonts w:ascii="Arial" w:hAnsi="Arial" w:cs="Arial"/>
          <w:b/>
          <w:bCs/>
          <w:lang w:val="en-US"/>
        </w:rPr>
        <w:t xml:space="preserve"> </w:t>
      </w:r>
      <w:r w:rsidR="002C3774">
        <w:rPr>
          <w:rFonts w:ascii="Arial" w:hAnsi="Arial" w:cs="Arial"/>
          <w:b/>
          <w:bCs/>
          <w:lang w:val="en-US"/>
        </w:rPr>
        <w:t>CNRE152A</w:t>
      </w:r>
    </w:p>
    <w:p w14:paraId="5FA9B134" w14:textId="062B9A47" w:rsidR="00A40F78" w:rsidRPr="00A40F78" w:rsidRDefault="00A40F78" w:rsidP="00A40F78">
      <w:pPr>
        <w:rPr>
          <w:rFonts w:ascii="Arial" w:hAnsi="Arial" w:cs="Arial"/>
          <w:b/>
          <w:bCs/>
          <w:lang w:val="en-US"/>
        </w:rPr>
      </w:pPr>
      <w:r w:rsidRPr="00A40F78">
        <w:rPr>
          <w:rFonts w:ascii="Arial" w:hAnsi="Arial" w:cs="Arial"/>
          <w:b/>
          <w:bCs/>
          <w:lang w:val="en-US"/>
        </w:rPr>
        <w:t>REPORT TITLE:</w:t>
      </w:r>
      <w:r w:rsidR="00743F02">
        <w:rPr>
          <w:rFonts w:ascii="Arial" w:hAnsi="Arial" w:cs="Arial"/>
          <w:b/>
          <w:bCs/>
          <w:lang w:val="en-US"/>
        </w:rPr>
        <w:tab/>
      </w:r>
      <w:r w:rsidR="00743F02" w:rsidRPr="00743F02">
        <w:rPr>
          <w:rFonts w:ascii="Arial" w:hAnsi="Arial" w:cs="Arial"/>
          <w:b/>
          <w:bCs/>
          <w:lang w:val="en-US"/>
        </w:rPr>
        <w:t>Supplemental Report for Methods to Address the High Assignment Rate of Non-Geographic (6YY) CO Codes</w:t>
      </w:r>
    </w:p>
    <w:p w14:paraId="0C001241" w14:textId="69FAEC08" w:rsidR="00A40F78" w:rsidRPr="00A40F78" w:rsidRDefault="00A40F78" w:rsidP="00A40F78">
      <w:pPr>
        <w:rPr>
          <w:rFonts w:ascii="Arial" w:hAnsi="Arial" w:cs="Arial"/>
          <w:b/>
          <w:bCs/>
          <w:lang w:val="en-US"/>
        </w:rPr>
      </w:pPr>
      <w:r w:rsidRPr="00A40F78">
        <w:rPr>
          <w:rFonts w:ascii="Arial" w:hAnsi="Arial" w:cs="Arial"/>
          <w:b/>
          <w:bCs/>
          <w:lang w:val="en-US"/>
        </w:rPr>
        <w:t xml:space="preserve">OUTCOME: </w:t>
      </w:r>
      <w:r w:rsidRPr="00B95BC5">
        <w:rPr>
          <w:rFonts w:ascii="Arial" w:hAnsi="Arial" w:cs="Arial"/>
          <w:b/>
          <w:bCs/>
          <w:lang w:val="en-US"/>
        </w:rPr>
        <w:t>CONSENSUS</w:t>
      </w:r>
    </w:p>
    <w:p w14:paraId="79C8EC7A" w14:textId="57E27F66" w:rsidR="00A40F78" w:rsidRPr="00A40F78" w:rsidRDefault="00A40F78" w:rsidP="00A40F78">
      <w:pPr>
        <w:rPr>
          <w:rFonts w:ascii="Arial" w:hAnsi="Arial" w:cs="Arial"/>
          <w:b/>
          <w:bCs/>
          <w:lang w:val="en-US"/>
        </w:rPr>
      </w:pPr>
      <w:r w:rsidRPr="00A40F78">
        <w:rPr>
          <w:rFonts w:ascii="Arial" w:hAnsi="Arial" w:cs="Arial"/>
          <w:b/>
          <w:bCs/>
          <w:lang w:val="en-US"/>
        </w:rPr>
        <w:t>RELATED TASK(s) #:</w:t>
      </w:r>
      <w:r w:rsidR="00743F02">
        <w:rPr>
          <w:rFonts w:ascii="Arial" w:hAnsi="Arial" w:cs="Arial"/>
          <w:b/>
          <w:bCs/>
          <w:lang w:val="en-US"/>
        </w:rPr>
        <w:tab/>
      </w:r>
      <w:r w:rsidR="00C9151A">
        <w:rPr>
          <w:rFonts w:ascii="Arial" w:hAnsi="Arial" w:cs="Arial"/>
          <w:b/>
          <w:bCs/>
          <w:lang w:val="en-US"/>
        </w:rPr>
        <w:t>112</w:t>
      </w:r>
    </w:p>
    <w:p w14:paraId="2C24EC3F" w14:textId="1363AA60" w:rsidR="00A40F78" w:rsidRDefault="00A40F78" w:rsidP="00A40F78">
      <w:pPr>
        <w:rPr>
          <w:rFonts w:ascii="Arial" w:hAnsi="Arial" w:cs="Arial"/>
          <w:b/>
          <w:bCs/>
          <w:lang w:val="en-US"/>
        </w:rPr>
      </w:pPr>
      <w:r w:rsidRPr="00A40F78">
        <w:rPr>
          <w:rFonts w:ascii="Arial" w:hAnsi="Arial" w:cs="Arial"/>
          <w:b/>
          <w:bCs/>
          <w:lang w:val="en-US"/>
        </w:rPr>
        <w:t>BACKGROUND:</w:t>
      </w:r>
      <w:r w:rsidR="00C9151A">
        <w:rPr>
          <w:rFonts w:ascii="Arial" w:hAnsi="Arial" w:cs="Arial"/>
          <w:b/>
          <w:bCs/>
          <w:lang w:val="en-US"/>
        </w:rPr>
        <w:tab/>
      </w:r>
    </w:p>
    <w:p w14:paraId="5C6CC510" w14:textId="504C5FFD" w:rsidR="00E84CC9" w:rsidRDefault="00E84CC9" w:rsidP="00A40F78">
      <w:r w:rsidRPr="00B95BC5">
        <w:rPr>
          <w:rFonts w:ascii="Arial" w:hAnsi="Arial" w:cs="Arial"/>
          <w:lang w:val="en-US"/>
        </w:rPr>
        <w:t xml:space="preserve">The CSCN submitted </w:t>
      </w:r>
      <w:hyperlink r:id="rId11" w:history="1">
        <w:r w:rsidRPr="00724E17">
          <w:rPr>
            <w:rStyle w:val="Hyperlink"/>
            <w:rFonts w:ascii="Arial" w:hAnsi="Arial" w:cs="Arial"/>
          </w:rPr>
          <w:t>CNRE138B</w:t>
        </w:r>
      </w:hyperlink>
      <w:r w:rsidR="006855F9">
        <w:t xml:space="preserve"> to the CISC </w:t>
      </w:r>
      <w:r w:rsidR="00957D0F">
        <w:t xml:space="preserve">on 22 April 2024 with a note that the CSCN would be </w:t>
      </w:r>
      <w:r w:rsidR="001831F4">
        <w:t xml:space="preserve">submitting a follow-up report to address </w:t>
      </w:r>
      <w:r w:rsidR="00AB70A8">
        <w:t>the number of digits to expand to.</w:t>
      </w:r>
    </w:p>
    <w:p w14:paraId="44646C96" w14:textId="77777777" w:rsidR="00AB70A8" w:rsidRPr="00B95BC5" w:rsidRDefault="00AB70A8" w:rsidP="00A40F78">
      <w:pPr>
        <w:rPr>
          <w:rFonts w:ascii="Arial" w:hAnsi="Arial" w:cs="Arial"/>
          <w:u w:val="single"/>
          <w:lang w:val="en-US"/>
        </w:rPr>
      </w:pPr>
    </w:p>
    <w:p w14:paraId="12DAA6BF" w14:textId="70CA9CDF" w:rsidR="00A40F78" w:rsidRPr="00A40F78" w:rsidRDefault="00A40F78" w:rsidP="00A40F78">
      <w:pPr>
        <w:rPr>
          <w:rFonts w:ascii="Arial" w:hAnsi="Arial" w:cs="Arial"/>
          <w:b/>
          <w:bCs/>
          <w:lang w:val="en-US"/>
        </w:rPr>
      </w:pPr>
      <w:r w:rsidRPr="00A40F78">
        <w:rPr>
          <w:rFonts w:ascii="Arial" w:hAnsi="Arial" w:cs="Arial"/>
          <w:b/>
          <w:bCs/>
          <w:lang w:val="en-US"/>
        </w:rPr>
        <w:t>CONCLUSIONS:</w:t>
      </w:r>
      <w:r w:rsidR="003A3DF1" w:rsidRPr="00B95BC5">
        <w:rPr>
          <w:rFonts w:ascii="Arial" w:hAnsi="Arial" w:cs="Arial"/>
          <w:lang w:val="en-US"/>
        </w:rPr>
        <w:tab/>
      </w:r>
      <w:r w:rsidR="005719F4" w:rsidRPr="00B95BC5">
        <w:rPr>
          <w:rFonts w:ascii="Arial" w:hAnsi="Arial" w:cs="Arial"/>
          <w:lang w:val="en-US"/>
        </w:rPr>
        <w:t xml:space="preserve">The CSCN concluded that the </w:t>
      </w:r>
      <w:r w:rsidR="00CA73D2" w:rsidRPr="00B95BC5">
        <w:rPr>
          <w:rFonts w:ascii="Arial" w:hAnsi="Arial" w:cs="Arial"/>
          <w:lang w:val="en-US"/>
        </w:rPr>
        <w:t xml:space="preserve">industry should implement 1+14-digit </w:t>
      </w:r>
      <w:r w:rsidR="001C2530" w:rsidRPr="00B95BC5">
        <w:rPr>
          <w:rFonts w:ascii="Arial" w:hAnsi="Arial" w:cs="Arial"/>
          <w:lang w:val="en-US"/>
        </w:rPr>
        <w:t>expansion</w:t>
      </w:r>
      <w:r w:rsidR="00CA73D2" w:rsidRPr="00B95BC5">
        <w:rPr>
          <w:rFonts w:ascii="Arial" w:hAnsi="Arial" w:cs="Arial"/>
          <w:lang w:val="en-US"/>
        </w:rPr>
        <w:t xml:space="preserve"> in the format</w:t>
      </w:r>
      <w:r w:rsidR="00CA73D2">
        <w:rPr>
          <w:rFonts w:ascii="Arial" w:hAnsi="Arial" w:cs="Arial"/>
          <w:b/>
          <w:bCs/>
          <w:lang w:val="en-US"/>
        </w:rPr>
        <w:t xml:space="preserve"> </w:t>
      </w:r>
      <w:r w:rsidR="00CA73D2">
        <w:rPr>
          <w:rFonts w:ascii="Arial" w:hAnsi="Arial" w:cs="Arial"/>
          <w:lang w:val="en-US"/>
        </w:rPr>
        <w:t>1-6YY-XXX-XXXX-XXXX</w:t>
      </w:r>
      <w:r w:rsidR="001C2530">
        <w:rPr>
          <w:rFonts w:ascii="Arial" w:hAnsi="Arial" w:cs="Arial"/>
          <w:lang w:val="en-US"/>
        </w:rPr>
        <w:t xml:space="preserve"> with assignments made in blocks of 10,000 telephone numbers.</w:t>
      </w:r>
    </w:p>
    <w:p w14:paraId="693BB6BD" w14:textId="77777777" w:rsidR="00A40F78" w:rsidRDefault="00A40F78" w:rsidP="00A40F78">
      <w:pPr>
        <w:rPr>
          <w:rFonts w:ascii="Arial" w:hAnsi="Arial" w:cs="Arial"/>
          <w:b/>
          <w:bCs/>
          <w:lang w:val="en-US"/>
        </w:rPr>
      </w:pPr>
      <w:r w:rsidRPr="00A40F78">
        <w:rPr>
          <w:rFonts w:ascii="Arial" w:hAnsi="Arial" w:cs="Arial"/>
          <w:b/>
          <w:bCs/>
          <w:lang w:val="en-US"/>
        </w:rPr>
        <w:t>RECOMMENDATIONS:</w:t>
      </w:r>
    </w:p>
    <w:p w14:paraId="69A8268E" w14:textId="77777777" w:rsidR="00774DAF" w:rsidRDefault="00774DAF" w:rsidP="00774DAF">
      <w:pPr>
        <w:rPr>
          <w:rFonts w:ascii="Arial" w:hAnsi="Arial" w:cs="Arial"/>
        </w:rPr>
      </w:pPr>
      <w:r>
        <w:rPr>
          <w:rFonts w:ascii="Arial" w:hAnsi="Arial" w:cs="Arial"/>
        </w:rPr>
        <w:t>The CSCN recommends that:</w:t>
      </w:r>
    </w:p>
    <w:p w14:paraId="72DC00BB" w14:textId="77777777" w:rsidR="00774DAF" w:rsidRDefault="00774DAF" w:rsidP="00774DAF">
      <w:pPr>
        <w:pStyle w:val="ListParagraph"/>
        <w:numPr>
          <w:ilvl w:val="0"/>
          <w:numId w:val="20"/>
        </w:numPr>
        <w:rPr>
          <w:rFonts w:ascii="Arial" w:hAnsi="Arial" w:cs="Arial"/>
        </w:rPr>
      </w:pPr>
      <w:r w:rsidRPr="00A706EB">
        <w:rPr>
          <w:rFonts w:ascii="Arial" w:hAnsi="Arial" w:cs="Arial"/>
        </w:rPr>
        <w:t xml:space="preserve">The CNA and service providers that seek new </w:t>
      </w:r>
      <w:proofErr w:type="gramStart"/>
      <w:r w:rsidRPr="00A706EB">
        <w:rPr>
          <w:rFonts w:ascii="Arial" w:hAnsi="Arial" w:cs="Arial"/>
        </w:rPr>
        <w:t>Non-Geographic</w:t>
      </w:r>
      <w:proofErr w:type="gramEnd"/>
      <w:r w:rsidRPr="00A706EB">
        <w:rPr>
          <w:rFonts w:ascii="Arial" w:hAnsi="Arial" w:cs="Arial"/>
        </w:rPr>
        <w:t xml:space="preserve"> numbering resources must be capable of using the expanded 1+14</w:t>
      </w:r>
      <w:r>
        <w:rPr>
          <w:rFonts w:ascii="Arial" w:hAnsi="Arial" w:cs="Arial"/>
        </w:rPr>
        <w:t>-</w:t>
      </w:r>
      <w:r w:rsidRPr="00A706EB">
        <w:rPr>
          <w:rFonts w:ascii="Arial" w:hAnsi="Arial" w:cs="Arial"/>
        </w:rPr>
        <w:t xml:space="preserve">digit format, no later than 3 years after the date of the </w:t>
      </w:r>
      <w:proofErr w:type="gramStart"/>
      <w:r w:rsidRPr="00A706EB">
        <w:rPr>
          <w:rFonts w:ascii="Arial" w:hAnsi="Arial" w:cs="Arial"/>
        </w:rPr>
        <w:t>Decision</w:t>
      </w:r>
      <w:r>
        <w:rPr>
          <w:rFonts w:ascii="Arial" w:hAnsi="Arial" w:cs="Arial"/>
        </w:rPr>
        <w:t>;</w:t>
      </w:r>
      <w:proofErr w:type="gramEnd"/>
    </w:p>
    <w:p w14:paraId="7D14FC64" w14:textId="77777777" w:rsidR="00774DAF" w:rsidRPr="002634BA" w:rsidRDefault="00774DAF" w:rsidP="00774DAF">
      <w:pPr>
        <w:pStyle w:val="ListParagraph"/>
        <w:rPr>
          <w:rFonts w:ascii="Arial" w:hAnsi="Arial" w:cs="Arial"/>
        </w:rPr>
      </w:pPr>
    </w:p>
    <w:p w14:paraId="53B1256B" w14:textId="77777777" w:rsidR="00774DAF" w:rsidRPr="00B95BC5" w:rsidRDefault="00774DAF" w:rsidP="00203211">
      <w:pPr>
        <w:pStyle w:val="ListParagraph"/>
        <w:numPr>
          <w:ilvl w:val="0"/>
          <w:numId w:val="20"/>
        </w:numPr>
        <w:rPr>
          <w:rFonts w:ascii="Arial" w:hAnsi="Arial" w:cs="Arial"/>
          <w:b/>
          <w:bCs/>
          <w:lang w:val="en-US"/>
        </w:rPr>
      </w:pPr>
      <w:r w:rsidRPr="00774DAF">
        <w:rPr>
          <w:rFonts w:ascii="Arial" w:hAnsi="Arial" w:cs="Arial"/>
        </w:rPr>
        <w:t xml:space="preserve">The CNA and service providers implement the extended digit NPAs 677 and 688 in the format of 1-6YY-XXX-XXXX-XXXX where X is a number range from 0 to 9, and the D-digit would change from an N (2 through 9) to an X (0 through 9); and  </w:t>
      </w:r>
    </w:p>
    <w:p w14:paraId="4DF56372" w14:textId="77777777" w:rsidR="00774DAF" w:rsidRPr="00B95BC5" w:rsidRDefault="00774DAF" w:rsidP="00B95BC5">
      <w:pPr>
        <w:pStyle w:val="ListParagraph"/>
        <w:rPr>
          <w:rFonts w:ascii="Arial" w:hAnsi="Arial" w:cs="Arial"/>
        </w:rPr>
      </w:pPr>
    </w:p>
    <w:p w14:paraId="1A14B158" w14:textId="44D2526E" w:rsidR="00774DAF" w:rsidRPr="00774DAF" w:rsidRDefault="00774DAF" w:rsidP="00B95BC5">
      <w:pPr>
        <w:pStyle w:val="ListParagraph"/>
        <w:numPr>
          <w:ilvl w:val="0"/>
          <w:numId w:val="20"/>
        </w:numPr>
        <w:rPr>
          <w:rFonts w:ascii="Arial" w:hAnsi="Arial" w:cs="Arial"/>
          <w:b/>
          <w:bCs/>
          <w:lang w:val="en-US"/>
        </w:rPr>
      </w:pPr>
      <w:r w:rsidRPr="00774DAF">
        <w:rPr>
          <w:rFonts w:ascii="Arial" w:hAnsi="Arial" w:cs="Arial"/>
        </w:rPr>
        <w:t xml:space="preserve">The CNA and service providers implement a block size of 10,000 TNs in 1+14-digit NPAs, resulting in the administered digits being the bolded characters in the following format: </w:t>
      </w:r>
      <w:r w:rsidRPr="00774DAF">
        <w:rPr>
          <w:rFonts w:ascii="Arial" w:hAnsi="Arial" w:cs="Arial"/>
          <w:lang w:val="en-US"/>
        </w:rPr>
        <w:t>1+6YY-</w:t>
      </w:r>
      <w:r w:rsidRPr="00774DAF">
        <w:rPr>
          <w:rFonts w:ascii="Arial" w:hAnsi="Arial" w:cs="Arial"/>
          <w:b/>
          <w:bCs/>
          <w:lang w:val="en-US"/>
        </w:rPr>
        <w:t>DEF-GHIJ</w:t>
      </w:r>
      <w:r w:rsidRPr="00774DAF">
        <w:rPr>
          <w:rFonts w:ascii="Arial" w:hAnsi="Arial" w:cs="Arial"/>
          <w:lang w:val="en-US"/>
        </w:rPr>
        <w:t>-XXXX.</w:t>
      </w:r>
    </w:p>
    <w:p w14:paraId="32DE6A32" w14:textId="77777777" w:rsidR="00A40F78" w:rsidRPr="00A40F78" w:rsidRDefault="00A40F78" w:rsidP="00A40F78">
      <w:pPr>
        <w:rPr>
          <w:rFonts w:ascii="Arial" w:hAnsi="Arial" w:cs="Arial"/>
          <w:b/>
          <w:bCs/>
          <w:lang w:val="en-US"/>
        </w:rPr>
      </w:pPr>
      <w:r w:rsidRPr="00A40F78">
        <w:rPr>
          <w:rFonts w:ascii="Arial" w:hAnsi="Arial" w:cs="Arial"/>
          <w:b/>
          <w:bCs/>
          <w:lang w:val="en-US"/>
        </w:rPr>
        <w:t>ATTACHMENTS:</w:t>
      </w:r>
    </w:p>
    <w:p w14:paraId="0D4649EB" w14:textId="4F4C8535" w:rsidR="00A40F78" w:rsidRPr="00B95BC5" w:rsidRDefault="006C1C46" w:rsidP="006C1C46">
      <w:pPr>
        <w:rPr>
          <w:rFonts w:ascii="Arial" w:hAnsi="Arial" w:cs="Arial"/>
        </w:rPr>
      </w:pPr>
      <w:r w:rsidRPr="00B95BC5">
        <w:rPr>
          <w:color w:val="000000"/>
          <w:sz w:val="24"/>
          <w:szCs w:val="24"/>
        </w:rPr>
        <w:t>Supplemental Report - Methods to Address the High Assignment Rate of Non-Geographic (6YY) CO Codes</w:t>
      </w:r>
      <w:r w:rsidRPr="00B95BC5">
        <w:rPr>
          <w:rFonts w:ascii="Arial" w:hAnsi="Arial" w:cs="Arial"/>
        </w:rPr>
        <w:t xml:space="preserve"> </w:t>
      </w:r>
    </w:p>
    <w:p w14:paraId="7AB3B086" w14:textId="77777777" w:rsidR="00DF49A0" w:rsidRDefault="00DF49A0">
      <w:pPr>
        <w:rPr>
          <w:b/>
          <w:bCs/>
          <w:color w:val="000000"/>
          <w:sz w:val="24"/>
          <w:szCs w:val="24"/>
        </w:rPr>
      </w:pPr>
      <w:r>
        <w:rPr>
          <w:b/>
          <w:bCs/>
          <w:color w:val="000000"/>
          <w:sz w:val="24"/>
          <w:szCs w:val="24"/>
        </w:rPr>
        <w:br w:type="page"/>
      </w:r>
    </w:p>
    <w:p w14:paraId="3D997D83" w14:textId="3EFC9382" w:rsidR="0002595E" w:rsidRDefault="007A030F" w:rsidP="002C2E0A">
      <w:pPr>
        <w:rPr>
          <w:b/>
          <w:bCs/>
          <w:color w:val="000000"/>
          <w:sz w:val="24"/>
          <w:szCs w:val="24"/>
        </w:rPr>
      </w:pPr>
      <w:r w:rsidRPr="00C61805">
        <w:rPr>
          <w:b/>
          <w:bCs/>
          <w:color w:val="000000"/>
          <w:sz w:val="24"/>
          <w:szCs w:val="24"/>
        </w:rPr>
        <w:lastRenderedPageBreak/>
        <w:t>Supple</w:t>
      </w:r>
      <w:r w:rsidR="00C61805" w:rsidRPr="00C61805">
        <w:rPr>
          <w:b/>
          <w:bCs/>
          <w:color w:val="000000"/>
          <w:sz w:val="24"/>
          <w:szCs w:val="24"/>
        </w:rPr>
        <w:t xml:space="preserve">mental Report </w:t>
      </w:r>
    </w:p>
    <w:p w14:paraId="585FF806" w14:textId="77777777" w:rsidR="00811630" w:rsidRDefault="00811630" w:rsidP="002C2E0A">
      <w:pPr>
        <w:rPr>
          <w:b/>
          <w:bCs/>
          <w:color w:val="000000"/>
          <w:sz w:val="24"/>
          <w:szCs w:val="24"/>
        </w:rPr>
      </w:pPr>
    </w:p>
    <w:p w14:paraId="276DBC25" w14:textId="59366245" w:rsidR="002C2E0A" w:rsidRDefault="002C2E0A" w:rsidP="002C2E0A">
      <w:pPr>
        <w:rPr>
          <w:rFonts w:ascii="Arial" w:hAnsi="Arial" w:cs="Arial"/>
          <w:b/>
          <w:bCs/>
        </w:rPr>
      </w:pPr>
      <w:r w:rsidRPr="002269CB">
        <w:rPr>
          <w:b/>
          <w:bCs/>
          <w:color w:val="000000"/>
          <w:sz w:val="24"/>
          <w:szCs w:val="24"/>
        </w:rPr>
        <w:t>Methods to Address the High Assignment Rate of Non-Geographic (6YY) CO Codes</w:t>
      </w:r>
      <w:r w:rsidRPr="00C57FFA">
        <w:rPr>
          <w:rFonts w:ascii="Arial" w:hAnsi="Arial" w:cs="Arial"/>
          <w:b/>
          <w:bCs/>
        </w:rPr>
        <w:t xml:space="preserve"> </w:t>
      </w:r>
    </w:p>
    <w:p w14:paraId="50A3647A" w14:textId="77777777" w:rsidR="00C43AE2" w:rsidRPr="00C43AE2" w:rsidRDefault="00C43AE2" w:rsidP="002C2E0A">
      <w:pPr>
        <w:rPr>
          <w:rFonts w:ascii="Arial" w:hAnsi="Arial" w:cs="Arial"/>
        </w:rPr>
      </w:pPr>
    </w:p>
    <w:p w14:paraId="57F4917B" w14:textId="5678C28C" w:rsidR="002C2E0A" w:rsidRPr="00EA6EE8" w:rsidRDefault="006D63ED" w:rsidP="00846E8F">
      <w:pPr>
        <w:pStyle w:val="Heading1"/>
        <w:numPr>
          <w:ilvl w:val="0"/>
          <w:numId w:val="9"/>
        </w:numPr>
        <w:ind w:left="720" w:hanging="720"/>
        <w:rPr>
          <w:rFonts w:ascii="Arial" w:hAnsi="Arial"/>
          <w:color w:val="auto"/>
          <w:sz w:val="24"/>
          <w:szCs w:val="24"/>
        </w:rPr>
      </w:pPr>
      <w:r w:rsidRPr="00EA6EE8">
        <w:rPr>
          <w:rFonts w:ascii="Arial" w:hAnsi="Arial"/>
          <w:color w:val="auto"/>
          <w:sz w:val="24"/>
          <w:szCs w:val="24"/>
        </w:rPr>
        <w:t>Introduction</w:t>
      </w:r>
    </w:p>
    <w:p w14:paraId="501BA319" w14:textId="77777777" w:rsidR="00C43AE2" w:rsidRPr="00C43AE2" w:rsidRDefault="00C43AE2" w:rsidP="00C43AE2"/>
    <w:p w14:paraId="341A0FE6" w14:textId="6E76E058" w:rsidR="00F33CAC" w:rsidRPr="002634BA" w:rsidRDefault="0000276F" w:rsidP="00AD3829">
      <w:pPr>
        <w:rPr>
          <w:rFonts w:ascii="Arial" w:hAnsi="Arial" w:cs="Arial"/>
        </w:rPr>
      </w:pPr>
      <w:r>
        <w:rPr>
          <w:rFonts w:ascii="Arial" w:hAnsi="Arial" w:cs="Arial"/>
        </w:rPr>
        <w:t xml:space="preserve">On 2 April 2024, the Canadian Steering Committee on Numbering (CSCN) submitted </w:t>
      </w:r>
      <w:r w:rsidR="00530E08">
        <w:rPr>
          <w:rFonts w:ascii="Arial" w:hAnsi="Arial" w:cs="Arial"/>
        </w:rPr>
        <w:t xml:space="preserve">CNRE138B, </w:t>
      </w:r>
      <w:r w:rsidR="00530E08" w:rsidRPr="002634BA">
        <w:rPr>
          <w:rFonts w:ascii="Arial" w:hAnsi="Arial" w:cs="Arial"/>
        </w:rPr>
        <w:t>Methods to Address the High Assignment Rate of Non-Geographic (6YY) CO Codes</w:t>
      </w:r>
      <w:r w:rsidR="001D54ED" w:rsidRPr="00D42043">
        <w:rPr>
          <w:rFonts w:ascii="Arial" w:hAnsi="Arial" w:cs="Arial"/>
        </w:rPr>
        <w:t>.</w:t>
      </w:r>
      <w:r w:rsidR="0071185F" w:rsidRPr="00D42043">
        <w:rPr>
          <w:rFonts w:ascii="Arial" w:hAnsi="Arial" w:cs="Arial"/>
        </w:rPr>
        <w:t xml:space="preserve"> </w:t>
      </w:r>
      <w:r w:rsidR="0071185F">
        <w:rPr>
          <w:rFonts w:ascii="Arial" w:hAnsi="Arial" w:cs="Arial"/>
        </w:rPr>
        <w:t>In this Report</w:t>
      </w:r>
      <w:r w:rsidR="00450DBA">
        <w:rPr>
          <w:rFonts w:ascii="Arial" w:hAnsi="Arial" w:cs="Arial"/>
        </w:rPr>
        <w:t xml:space="preserve">, the </w:t>
      </w:r>
      <w:r w:rsidR="00B046FA">
        <w:rPr>
          <w:rFonts w:ascii="Arial" w:hAnsi="Arial" w:cs="Arial"/>
        </w:rPr>
        <w:t>Canadian Steering Committee on Numbering (</w:t>
      </w:r>
      <w:r w:rsidR="00450DBA">
        <w:rPr>
          <w:rFonts w:ascii="Arial" w:hAnsi="Arial" w:cs="Arial"/>
        </w:rPr>
        <w:t>CSCN</w:t>
      </w:r>
      <w:r w:rsidR="00B046FA">
        <w:rPr>
          <w:rFonts w:ascii="Arial" w:hAnsi="Arial" w:cs="Arial"/>
        </w:rPr>
        <w:t>)</w:t>
      </w:r>
      <w:r w:rsidR="00D42043">
        <w:rPr>
          <w:rFonts w:ascii="Arial" w:hAnsi="Arial" w:cs="Arial"/>
        </w:rPr>
        <w:t xml:space="preserve"> </w:t>
      </w:r>
      <w:r w:rsidR="007D5FC0">
        <w:rPr>
          <w:rFonts w:ascii="Arial" w:hAnsi="Arial" w:cs="Arial"/>
        </w:rPr>
        <w:t>examined Full Solution</w:t>
      </w:r>
      <w:r w:rsidR="00A07066">
        <w:rPr>
          <w:rFonts w:ascii="Arial" w:hAnsi="Arial" w:cs="Arial"/>
        </w:rPr>
        <w:t>s (i.e.</w:t>
      </w:r>
      <w:r w:rsidR="00D501C1">
        <w:rPr>
          <w:rFonts w:ascii="Arial" w:hAnsi="Arial" w:cs="Arial"/>
        </w:rPr>
        <w:t>,</w:t>
      </w:r>
      <w:r w:rsidR="00A07066">
        <w:rPr>
          <w:rFonts w:ascii="Arial" w:hAnsi="Arial" w:cs="Arial"/>
        </w:rPr>
        <w:t xml:space="preserve"> expanding 6YY codes to either 1+12</w:t>
      </w:r>
      <w:r w:rsidR="00FC7D04">
        <w:rPr>
          <w:rFonts w:ascii="Arial" w:hAnsi="Arial" w:cs="Arial"/>
        </w:rPr>
        <w:t xml:space="preserve"> (Option 7A) </w:t>
      </w:r>
      <w:r w:rsidR="00A07066">
        <w:rPr>
          <w:rFonts w:ascii="Arial" w:hAnsi="Arial" w:cs="Arial"/>
        </w:rPr>
        <w:t>or 1+14 digits</w:t>
      </w:r>
      <w:r w:rsidR="00FC7D04">
        <w:rPr>
          <w:rFonts w:ascii="Arial" w:hAnsi="Arial" w:cs="Arial"/>
        </w:rPr>
        <w:t xml:space="preserve"> (Option 7B) </w:t>
      </w:r>
      <w:r w:rsidR="007D5FC0">
        <w:rPr>
          <w:rFonts w:ascii="Arial" w:hAnsi="Arial" w:cs="Arial"/>
        </w:rPr>
        <w:t xml:space="preserve">to delay exhaust </w:t>
      </w:r>
      <w:r w:rsidR="00A07066">
        <w:rPr>
          <w:rFonts w:ascii="Arial" w:hAnsi="Arial" w:cs="Arial"/>
        </w:rPr>
        <w:t>of non-geographic resources</w:t>
      </w:r>
      <w:r w:rsidR="00FC7D04">
        <w:rPr>
          <w:rFonts w:ascii="Arial" w:hAnsi="Arial" w:cs="Arial"/>
        </w:rPr>
        <w:t xml:space="preserve">. Further, the CSCN </w:t>
      </w:r>
      <w:r w:rsidR="007D5FC0">
        <w:rPr>
          <w:rFonts w:ascii="Arial" w:hAnsi="Arial" w:cs="Arial"/>
        </w:rPr>
        <w:t xml:space="preserve">provided </w:t>
      </w:r>
      <w:r w:rsidR="0081443D" w:rsidRPr="0081443D">
        <w:rPr>
          <w:rFonts w:ascii="Arial" w:hAnsi="Arial" w:cs="Arial"/>
        </w:rPr>
        <w:t>the Commission with several partial solutions that would make additional 6YY NXXs available</w:t>
      </w:r>
      <w:r w:rsidR="00D57315">
        <w:rPr>
          <w:rFonts w:ascii="Arial" w:hAnsi="Arial" w:cs="Arial"/>
        </w:rPr>
        <w:t xml:space="preserve">. </w:t>
      </w:r>
      <w:r w:rsidR="00BC35A6">
        <w:rPr>
          <w:rFonts w:ascii="Arial" w:hAnsi="Arial" w:cs="Arial"/>
        </w:rPr>
        <w:t>With</w:t>
      </w:r>
      <w:r w:rsidR="00A07066">
        <w:rPr>
          <w:rFonts w:ascii="Arial" w:hAnsi="Arial" w:cs="Arial"/>
        </w:rPr>
        <w:t xml:space="preserve"> respect to the </w:t>
      </w:r>
      <w:r w:rsidR="00133C4D">
        <w:rPr>
          <w:rFonts w:ascii="Arial" w:hAnsi="Arial" w:cs="Arial"/>
        </w:rPr>
        <w:t>f</w:t>
      </w:r>
      <w:r w:rsidR="00A07066">
        <w:rPr>
          <w:rFonts w:ascii="Arial" w:hAnsi="Arial" w:cs="Arial"/>
        </w:rPr>
        <w:t xml:space="preserve">ull solution </w:t>
      </w:r>
      <w:r w:rsidR="0081443D">
        <w:rPr>
          <w:rFonts w:ascii="Arial" w:hAnsi="Arial" w:cs="Arial"/>
        </w:rPr>
        <w:t xml:space="preserve">the CSCN </w:t>
      </w:r>
      <w:r w:rsidR="00450DBA">
        <w:rPr>
          <w:rFonts w:ascii="Arial" w:hAnsi="Arial" w:cs="Arial"/>
        </w:rPr>
        <w:t>was unable to reach consensus</w:t>
      </w:r>
      <w:r w:rsidR="00FC7D04">
        <w:rPr>
          <w:rFonts w:ascii="Arial" w:hAnsi="Arial" w:cs="Arial"/>
        </w:rPr>
        <w:t xml:space="preserve"> on whether to adopt Option 7A or 7B </w:t>
      </w:r>
      <w:r w:rsidR="0081443D">
        <w:rPr>
          <w:rFonts w:ascii="Arial" w:hAnsi="Arial" w:cs="Arial"/>
        </w:rPr>
        <w:t>and agreed that</w:t>
      </w:r>
      <w:r w:rsidR="002F3552">
        <w:rPr>
          <w:rFonts w:ascii="Arial" w:hAnsi="Arial" w:cs="Arial"/>
        </w:rPr>
        <w:t xml:space="preserve"> </w:t>
      </w:r>
      <w:r w:rsidR="0081443D" w:rsidRPr="0081443D">
        <w:rPr>
          <w:rFonts w:ascii="Arial" w:hAnsi="Arial" w:cs="Arial"/>
        </w:rPr>
        <w:t xml:space="preserve">further industry discussion is required before </w:t>
      </w:r>
      <w:r w:rsidR="00542E68">
        <w:rPr>
          <w:rFonts w:ascii="Arial" w:hAnsi="Arial" w:cs="Arial"/>
        </w:rPr>
        <w:t>making a final recommend</w:t>
      </w:r>
      <w:r w:rsidR="002F3552">
        <w:rPr>
          <w:rFonts w:ascii="Arial" w:hAnsi="Arial" w:cs="Arial"/>
        </w:rPr>
        <w:t>ation</w:t>
      </w:r>
      <w:r w:rsidR="00730199">
        <w:rPr>
          <w:rFonts w:ascii="Arial" w:hAnsi="Arial" w:cs="Arial"/>
        </w:rPr>
        <w:t xml:space="preserve">. </w:t>
      </w:r>
      <w:r w:rsidR="00BE4C3B" w:rsidRPr="002634BA">
        <w:rPr>
          <w:rFonts w:ascii="Arial" w:hAnsi="Arial" w:cs="Arial"/>
        </w:rPr>
        <w:t>In Section 8</w:t>
      </w:r>
      <w:r w:rsidR="00730199" w:rsidRPr="002634BA">
        <w:rPr>
          <w:rFonts w:ascii="Arial" w:hAnsi="Arial" w:cs="Arial"/>
        </w:rPr>
        <w:t xml:space="preserve"> of the Report</w:t>
      </w:r>
      <w:r w:rsidR="00BE4C3B" w:rsidRPr="002634BA">
        <w:rPr>
          <w:rFonts w:ascii="Arial" w:hAnsi="Arial" w:cs="Arial"/>
        </w:rPr>
        <w:t>, Matters for Further Consideration</w:t>
      </w:r>
      <w:r w:rsidR="00F33CAC" w:rsidRPr="002634BA">
        <w:rPr>
          <w:rFonts w:ascii="Arial" w:hAnsi="Arial" w:cs="Arial"/>
        </w:rPr>
        <w:t>,</w:t>
      </w:r>
      <w:r w:rsidR="00BE4C3B" w:rsidRPr="002634BA">
        <w:rPr>
          <w:rFonts w:ascii="Arial" w:hAnsi="Arial" w:cs="Arial"/>
        </w:rPr>
        <w:t xml:space="preserve"> the CSCN stated:</w:t>
      </w:r>
    </w:p>
    <w:p w14:paraId="66DFBCA2" w14:textId="7334FAED" w:rsidR="006D63ED" w:rsidRDefault="00BE4C3B" w:rsidP="00660A4B">
      <w:pPr>
        <w:ind w:left="720" w:right="990"/>
        <w:rPr>
          <w:rFonts w:ascii="Arial" w:hAnsi="Arial" w:cs="Arial"/>
          <w:lang w:val="en-US"/>
        </w:rPr>
      </w:pPr>
      <w:r>
        <w:rPr>
          <w:rFonts w:ascii="Arial" w:hAnsi="Arial" w:cs="Arial"/>
          <w:lang w:val="en-US"/>
        </w:rPr>
        <w:t xml:space="preserve">TIF 112 will continue working on this task to resolve the </w:t>
      </w:r>
      <w:proofErr w:type="gramStart"/>
      <w:r>
        <w:rPr>
          <w:rFonts w:ascii="Arial" w:hAnsi="Arial" w:cs="Arial"/>
          <w:lang w:val="en-US"/>
        </w:rPr>
        <w:t>particulars</w:t>
      </w:r>
      <w:proofErr w:type="gramEnd"/>
      <w:r>
        <w:rPr>
          <w:rFonts w:ascii="Arial" w:hAnsi="Arial" w:cs="Arial"/>
          <w:lang w:val="en-US"/>
        </w:rPr>
        <w:t xml:space="preserve"> of the </w:t>
      </w:r>
      <w:r w:rsidRPr="007220B7">
        <w:rPr>
          <w:rFonts w:ascii="Arial" w:hAnsi="Arial" w:cs="Arial"/>
        </w:rPr>
        <w:t>Extended 6YY NPA</w:t>
      </w:r>
      <w:r>
        <w:rPr>
          <w:rFonts w:ascii="Arial" w:hAnsi="Arial" w:cs="Arial"/>
        </w:rPr>
        <w:t>s solution</w:t>
      </w:r>
      <w:r>
        <w:rPr>
          <w:rFonts w:ascii="Arial" w:hAnsi="Arial" w:cs="Arial"/>
          <w:lang w:val="en-US"/>
        </w:rPr>
        <w:t xml:space="preserve"> (Option 7).  Another report will be filed no later than 31 December 2024.  This new report will include a recommendation for the implementation of 1+12 digits (with or without digit locking) or 1+14 digits.</w:t>
      </w:r>
    </w:p>
    <w:p w14:paraId="7CBF8676" w14:textId="68E336E8" w:rsidR="00A07066" w:rsidRDefault="00A07066" w:rsidP="00D22CB8">
      <w:pPr>
        <w:ind w:right="990"/>
        <w:rPr>
          <w:rFonts w:ascii="Arial" w:hAnsi="Arial" w:cs="Arial"/>
        </w:rPr>
      </w:pPr>
      <w:r>
        <w:rPr>
          <w:rFonts w:ascii="Arial" w:hAnsi="Arial" w:cs="Arial"/>
        </w:rPr>
        <w:t>The</w:t>
      </w:r>
      <w:r w:rsidR="00D22CB8" w:rsidRPr="00D22CB8">
        <w:rPr>
          <w:rFonts w:ascii="Arial" w:hAnsi="Arial" w:cs="Arial"/>
        </w:rPr>
        <w:t xml:space="preserve"> CSCN </w:t>
      </w:r>
      <w:r w:rsidR="00D22CB8">
        <w:rPr>
          <w:rFonts w:ascii="Arial" w:hAnsi="Arial" w:cs="Arial"/>
        </w:rPr>
        <w:t xml:space="preserve">agreed to postpone </w:t>
      </w:r>
      <w:r w:rsidR="00D22CB8" w:rsidRPr="00D22CB8">
        <w:rPr>
          <w:rFonts w:ascii="Arial" w:hAnsi="Arial" w:cs="Arial"/>
        </w:rPr>
        <w:t xml:space="preserve">submitting its supplemental report until after reviewing the </w:t>
      </w:r>
      <w:r w:rsidR="00145C1B" w:rsidRPr="00145C1B">
        <w:rPr>
          <w:rFonts w:ascii="Arial" w:hAnsi="Arial" w:cs="Arial"/>
        </w:rPr>
        <w:t>North American Numbering Council</w:t>
      </w:r>
      <w:r w:rsidR="00145C1B">
        <w:rPr>
          <w:rFonts w:ascii="Arial" w:hAnsi="Arial" w:cs="Arial"/>
        </w:rPr>
        <w:t xml:space="preserve"> (</w:t>
      </w:r>
      <w:r w:rsidR="00D22CB8" w:rsidRPr="00D22CB8">
        <w:rPr>
          <w:rFonts w:ascii="Arial" w:hAnsi="Arial" w:cs="Arial"/>
        </w:rPr>
        <w:t>NANC</w:t>
      </w:r>
      <w:r w:rsidR="00145C1B">
        <w:rPr>
          <w:rFonts w:ascii="Arial" w:hAnsi="Arial" w:cs="Arial"/>
        </w:rPr>
        <w:t>)</w:t>
      </w:r>
      <w:r w:rsidR="00D22CB8" w:rsidRPr="00D22CB8">
        <w:rPr>
          <w:rFonts w:ascii="Arial" w:hAnsi="Arial" w:cs="Arial"/>
        </w:rPr>
        <w:t xml:space="preserve"> </w:t>
      </w:r>
      <w:r w:rsidR="00145C1B">
        <w:rPr>
          <w:rFonts w:ascii="Arial" w:hAnsi="Arial" w:cs="Arial"/>
        </w:rPr>
        <w:t>Internet of Things (</w:t>
      </w:r>
      <w:r w:rsidR="00D22CB8" w:rsidRPr="00D22CB8">
        <w:rPr>
          <w:rFonts w:ascii="Arial" w:hAnsi="Arial" w:cs="Arial"/>
        </w:rPr>
        <w:t>IoT</w:t>
      </w:r>
      <w:r w:rsidR="00145C1B">
        <w:rPr>
          <w:rFonts w:ascii="Arial" w:hAnsi="Arial" w:cs="Arial"/>
        </w:rPr>
        <w:t>)</w:t>
      </w:r>
      <w:r w:rsidR="00D22CB8" w:rsidRPr="00D22CB8">
        <w:rPr>
          <w:rFonts w:ascii="Arial" w:hAnsi="Arial" w:cs="Arial"/>
        </w:rPr>
        <w:t xml:space="preserve"> working group's report (published December 13, 2024)</w:t>
      </w:r>
      <w:r w:rsidR="000878C9">
        <w:rPr>
          <w:rFonts w:ascii="Arial" w:hAnsi="Arial" w:cs="Arial"/>
        </w:rPr>
        <w:t xml:space="preserve"> and informed the Commission that the supplemental report would be delayed</w:t>
      </w:r>
      <w:r w:rsidR="001D43D6">
        <w:rPr>
          <w:rFonts w:ascii="Arial" w:hAnsi="Arial" w:cs="Arial"/>
        </w:rPr>
        <w:t>.</w:t>
      </w:r>
      <w:r w:rsidR="000878C9">
        <w:rPr>
          <w:rFonts w:ascii="Arial" w:hAnsi="Arial" w:cs="Arial"/>
        </w:rPr>
        <w:t xml:space="preserve"> </w:t>
      </w:r>
      <w:r w:rsidR="00CA47B9">
        <w:rPr>
          <w:rFonts w:ascii="Arial" w:hAnsi="Arial" w:cs="Arial"/>
        </w:rPr>
        <w:t xml:space="preserve">Following its publication, the </w:t>
      </w:r>
      <w:r w:rsidRPr="00A07066">
        <w:rPr>
          <w:rFonts w:ascii="Arial" w:hAnsi="Arial" w:cs="Arial"/>
        </w:rPr>
        <w:t>CSCN review</w:t>
      </w:r>
      <w:r w:rsidR="00CA47B9">
        <w:rPr>
          <w:rFonts w:ascii="Arial" w:hAnsi="Arial" w:cs="Arial"/>
        </w:rPr>
        <w:t xml:space="preserve">ed </w:t>
      </w:r>
      <w:r w:rsidRPr="00A07066">
        <w:rPr>
          <w:rFonts w:ascii="Arial" w:hAnsi="Arial" w:cs="Arial"/>
        </w:rPr>
        <w:t xml:space="preserve">the NANC report, which revealed that the </w:t>
      </w:r>
      <w:proofErr w:type="gramStart"/>
      <w:r w:rsidRPr="00A07066">
        <w:rPr>
          <w:rFonts w:ascii="Arial" w:hAnsi="Arial" w:cs="Arial"/>
        </w:rPr>
        <w:t>1+1</w:t>
      </w:r>
      <w:r w:rsidR="00BA5019">
        <w:rPr>
          <w:rFonts w:ascii="Arial" w:hAnsi="Arial" w:cs="Arial"/>
        </w:rPr>
        <w:t xml:space="preserve">4 </w:t>
      </w:r>
      <w:r w:rsidRPr="00A07066">
        <w:rPr>
          <w:rFonts w:ascii="Arial" w:hAnsi="Arial" w:cs="Arial"/>
        </w:rPr>
        <w:t>digit</w:t>
      </w:r>
      <w:proofErr w:type="gramEnd"/>
      <w:r w:rsidRPr="00A07066">
        <w:rPr>
          <w:rFonts w:ascii="Arial" w:hAnsi="Arial" w:cs="Arial"/>
        </w:rPr>
        <w:t xml:space="preserve"> numbering format was presented as an option, not a recommendation</w:t>
      </w:r>
      <w:r w:rsidR="000B0D1E">
        <w:rPr>
          <w:rFonts w:ascii="Arial" w:hAnsi="Arial" w:cs="Arial"/>
        </w:rPr>
        <w:t xml:space="preserve"> and </w:t>
      </w:r>
      <w:r w:rsidR="002C29C7">
        <w:rPr>
          <w:rFonts w:ascii="Arial" w:hAnsi="Arial" w:cs="Arial"/>
        </w:rPr>
        <w:t xml:space="preserve">made </w:t>
      </w:r>
      <w:r w:rsidR="000B0D1E">
        <w:rPr>
          <w:rFonts w:ascii="Arial" w:hAnsi="Arial" w:cs="Arial"/>
        </w:rPr>
        <w:t xml:space="preserve">no mention </w:t>
      </w:r>
      <w:r w:rsidR="00BD1C61">
        <w:rPr>
          <w:rFonts w:ascii="Arial" w:hAnsi="Arial" w:cs="Arial"/>
        </w:rPr>
        <w:t xml:space="preserve">of </w:t>
      </w:r>
      <w:r w:rsidR="000878C9">
        <w:rPr>
          <w:rFonts w:ascii="Arial" w:hAnsi="Arial" w:cs="Arial"/>
        </w:rPr>
        <w:t xml:space="preserve">the </w:t>
      </w:r>
      <w:proofErr w:type="gramStart"/>
      <w:r w:rsidRPr="00A07066">
        <w:rPr>
          <w:rFonts w:ascii="Arial" w:hAnsi="Arial" w:cs="Arial"/>
        </w:rPr>
        <w:t>1+12 digit</w:t>
      </w:r>
      <w:proofErr w:type="gramEnd"/>
      <w:r w:rsidRPr="00A07066">
        <w:rPr>
          <w:rFonts w:ascii="Arial" w:hAnsi="Arial" w:cs="Arial"/>
        </w:rPr>
        <w:t xml:space="preserve"> format </w:t>
      </w:r>
      <w:r w:rsidR="000878C9">
        <w:rPr>
          <w:rFonts w:ascii="Arial" w:hAnsi="Arial" w:cs="Arial"/>
        </w:rPr>
        <w:t xml:space="preserve">which </w:t>
      </w:r>
      <w:r w:rsidRPr="00A07066">
        <w:rPr>
          <w:rFonts w:ascii="Arial" w:hAnsi="Arial" w:cs="Arial"/>
        </w:rPr>
        <w:t>suggests it's not currently under consideration in the US.</w:t>
      </w:r>
    </w:p>
    <w:p w14:paraId="7E0BDD0D" w14:textId="0868A0DB" w:rsidR="00494024" w:rsidRPr="003A0EA2" w:rsidRDefault="004C2ADB" w:rsidP="007D5FC0">
      <w:pPr>
        <w:ind w:right="990"/>
        <w:rPr>
          <w:rFonts w:ascii="Arial" w:hAnsi="Arial" w:cs="Arial"/>
        </w:rPr>
      </w:pPr>
      <w:proofErr w:type="gramStart"/>
      <w:r w:rsidRPr="003A0EA2">
        <w:rPr>
          <w:rFonts w:ascii="Arial" w:hAnsi="Arial" w:cs="Arial"/>
        </w:rPr>
        <w:t>In light of</w:t>
      </w:r>
      <w:proofErr w:type="gramEnd"/>
      <w:r w:rsidRPr="003A0EA2">
        <w:rPr>
          <w:rFonts w:ascii="Arial" w:hAnsi="Arial" w:cs="Arial"/>
        </w:rPr>
        <w:t xml:space="preserve"> the NANC report, t</w:t>
      </w:r>
      <w:r w:rsidR="00652BE0" w:rsidRPr="003A0EA2">
        <w:rPr>
          <w:rFonts w:ascii="Arial" w:hAnsi="Arial" w:cs="Arial"/>
        </w:rPr>
        <w:t>he</w:t>
      </w:r>
      <w:r w:rsidR="00D22CB8" w:rsidRPr="003A0EA2">
        <w:rPr>
          <w:rFonts w:ascii="Arial" w:hAnsi="Arial" w:cs="Arial"/>
        </w:rPr>
        <w:t xml:space="preserve"> balance of this report </w:t>
      </w:r>
      <w:r w:rsidR="007B4EAF" w:rsidRPr="003A0EA2">
        <w:rPr>
          <w:rFonts w:ascii="Arial" w:hAnsi="Arial" w:cs="Arial"/>
        </w:rPr>
        <w:t>examines</w:t>
      </w:r>
      <w:r w:rsidR="00612C8C" w:rsidRPr="003A0EA2">
        <w:rPr>
          <w:rFonts w:ascii="Arial" w:hAnsi="Arial" w:cs="Arial"/>
        </w:rPr>
        <w:t xml:space="preserve"> </w:t>
      </w:r>
      <w:r w:rsidR="00E42B3C" w:rsidRPr="003A0EA2">
        <w:rPr>
          <w:rFonts w:ascii="Arial" w:hAnsi="Arial" w:cs="Arial"/>
        </w:rPr>
        <w:t xml:space="preserve">the various alternatives within </w:t>
      </w:r>
      <w:r w:rsidR="00612C8C" w:rsidRPr="003A0EA2">
        <w:rPr>
          <w:rFonts w:ascii="Arial" w:hAnsi="Arial" w:cs="Arial"/>
        </w:rPr>
        <w:t>Option 7</w:t>
      </w:r>
      <w:r w:rsidR="00335F60" w:rsidRPr="003A0EA2">
        <w:rPr>
          <w:rFonts w:ascii="Arial" w:hAnsi="Arial" w:cs="Arial"/>
        </w:rPr>
        <w:t xml:space="preserve">, </w:t>
      </w:r>
      <w:r w:rsidR="0064235F" w:rsidRPr="003A0EA2">
        <w:rPr>
          <w:rFonts w:ascii="Arial" w:hAnsi="Arial" w:cs="Arial"/>
        </w:rPr>
        <w:t xml:space="preserve">considering </w:t>
      </w:r>
      <w:r w:rsidR="00335F60" w:rsidRPr="003A0EA2">
        <w:rPr>
          <w:rFonts w:ascii="Arial" w:hAnsi="Arial" w:cs="Arial"/>
        </w:rPr>
        <w:t xml:space="preserve">the pros and cons of each </w:t>
      </w:r>
      <w:r w:rsidR="00612C8C" w:rsidRPr="003A0EA2">
        <w:rPr>
          <w:rFonts w:ascii="Arial" w:hAnsi="Arial" w:cs="Arial"/>
        </w:rPr>
        <w:t>and</w:t>
      </w:r>
      <w:r w:rsidR="00084E79" w:rsidRPr="003A0EA2">
        <w:rPr>
          <w:rFonts w:ascii="Arial" w:hAnsi="Arial" w:cs="Arial"/>
        </w:rPr>
        <w:t xml:space="preserve"> </w:t>
      </w:r>
      <w:r w:rsidR="0096668D">
        <w:rPr>
          <w:rFonts w:ascii="Arial" w:hAnsi="Arial" w:cs="Arial"/>
        </w:rPr>
        <w:t xml:space="preserve">continues to </w:t>
      </w:r>
      <w:r w:rsidR="00612C8C" w:rsidRPr="003A0EA2">
        <w:rPr>
          <w:rFonts w:ascii="Arial" w:hAnsi="Arial" w:cs="Arial"/>
        </w:rPr>
        <w:t xml:space="preserve">recommend the reservation of </w:t>
      </w:r>
      <w:r w:rsidR="00034CD3" w:rsidRPr="003A0EA2">
        <w:rPr>
          <w:rFonts w:ascii="Arial" w:hAnsi="Arial" w:cs="Arial"/>
        </w:rPr>
        <w:t xml:space="preserve">unassigned </w:t>
      </w:r>
      <w:r w:rsidR="00406F02">
        <w:rPr>
          <w:rFonts w:ascii="Arial" w:hAnsi="Arial" w:cs="Arial"/>
        </w:rPr>
        <w:t>Numbering Plan Areas (</w:t>
      </w:r>
      <w:r w:rsidR="00612C8C" w:rsidRPr="003A0EA2">
        <w:rPr>
          <w:rFonts w:ascii="Arial" w:hAnsi="Arial" w:cs="Arial"/>
        </w:rPr>
        <w:t>NPAs</w:t>
      </w:r>
      <w:r w:rsidR="00406F02">
        <w:rPr>
          <w:rFonts w:ascii="Arial" w:hAnsi="Arial" w:cs="Arial"/>
        </w:rPr>
        <w:t>)</w:t>
      </w:r>
      <w:r w:rsidR="00612C8C" w:rsidRPr="003A0EA2">
        <w:rPr>
          <w:rFonts w:ascii="Arial" w:hAnsi="Arial" w:cs="Arial"/>
        </w:rPr>
        <w:t xml:space="preserve"> 677 and 688</w:t>
      </w:r>
      <w:r w:rsidR="00B01532" w:rsidRPr="003A0EA2">
        <w:rPr>
          <w:rFonts w:ascii="Arial" w:hAnsi="Arial" w:cs="Arial"/>
        </w:rPr>
        <w:t xml:space="preserve"> </w:t>
      </w:r>
      <w:r w:rsidR="00612C8C" w:rsidRPr="003A0EA2">
        <w:rPr>
          <w:rFonts w:ascii="Arial" w:hAnsi="Arial" w:cs="Arial"/>
        </w:rPr>
        <w:t xml:space="preserve">for the </w:t>
      </w:r>
      <w:r w:rsidR="004E23E9" w:rsidRPr="003A0EA2">
        <w:rPr>
          <w:rFonts w:ascii="Arial" w:hAnsi="Arial" w:cs="Arial"/>
        </w:rPr>
        <w:t>1+14-digit</w:t>
      </w:r>
      <w:r w:rsidR="00612C8C" w:rsidRPr="003A0EA2">
        <w:rPr>
          <w:rFonts w:ascii="Arial" w:hAnsi="Arial" w:cs="Arial"/>
        </w:rPr>
        <w:t xml:space="preserve"> expansion.</w:t>
      </w:r>
      <w:r w:rsidR="00BA1250" w:rsidRPr="003A0EA2">
        <w:rPr>
          <w:rFonts w:ascii="Arial" w:hAnsi="Arial" w:cs="Arial"/>
        </w:rPr>
        <w:t xml:space="preserve"> </w:t>
      </w:r>
      <w:r w:rsidR="00C05BBD">
        <w:rPr>
          <w:rFonts w:ascii="Arial" w:hAnsi="Arial" w:cs="Arial"/>
        </w:rPr>
        <w:t xml:space="preserve">The CSCN notes the expanded format must </w:t>
      </w:r>
      <w:r w:rsidR="006F553C" w:rsidRPr="003A0EA2">
        <w:rPr>
          <w:rFonts w:ascii="Arial" w:hAnsi="Arial" w:cs="Arial"/>
        </w:rPr>
        <w:t>utilize</w:t>
      </w:r>
      <w:r w:rsidR="00BA1250" w:rsidRPr="003A0EA2">
        <w:rPr>
          <w:rFonts w:ascii="Arial" w:hAnsi="Arial" w:cs="Arial"/>
        </w:rPr>
        <w:t xml:space="preserve"> unassigned NPAs such as 677 and 688 to allow for new software development on network and </w:t>
      </w:r>
      <w:r w:rsidR="00217A33">
        <w:rPr>
          <w:rFonts w:ascii="Arial" w:hAnsi="Arial" w:cs="Arial"/>
        </w:rPr>
        <w:t>Information Techno</w:t>
      </w:r>
      <w:r w:rsidR="00D44B03">
        <w:rPr>
          <w:rFonts w:ascii="Arial" w:hAnsi="Arial" w:cs="Arial"/>
        </w:rPr>
        <w:t>logy (</w:t>
      </w:r>
      <w:r w:rsidR="00BA1250" w:rsidRPr="003A0EA2">
        <w:rPr>
          <w:rFonts w:ascii="Arial" w:hAnsi="Arial" w:cs="Arial"/>
        </w:rPr>
        <w:t>IT</w:t>
      </w:r>
      <w:r w:rsidR="00D44B03">
        <w:rPr>
          <w:rFonts w:ascii="Arial" w:hAnsi="Arial" w:cs="Arial"/>
        </w:rPr>
        <w:t>)</w:t>
      </w:r>
      <w:r w:rsidR="00BA1250" w:rsidRPr="003A0EA2">
        <w:rPr>
          <w:rFonts w:ascii="Arial" w:hAnsi="Arial" w:cs="Arial"/>
        </w:rPr>
        <w:t xml:space="preserve"> platforms maintained by </w:t>
      </w:r>
      <w:r w:rsidR="00D44B03">
        <w:rPr>
          <w:rFonts w:ascii="Arial" w:hAnsi="Arial" w:cs="Arial"/>
        </w:rPr>
        <w:t>Telecommunications Service Providers (</w:t>
      </w:r>
      <w:r w:rsidR="00BA1250" w:rsidRPr="003A0EA2">
        <w:rPr>
          <w:rFonts w:ascii="Arial" w:hAnsi="Arial" w:cs="Arial"/>
        </w:rPr>
        <w:t>TSPs</w:t>
      </w:r>
      <w:r w:rsidR="00D44B03">
        <w:rPr>
          <w:rFonts w:ascii="Arial" w:hAnsi="Arial" w:cs="Arial"/>
        </w:rPr>
        <w:t>)</w:t>
      </w:r>
      <w:r w:rsidR="00BA1250" w:rsidRPr="003A0EA2">
        <w:rPr>
          <w:rFonts w:ascii="Arial" w:hAnsi="Arial" w:cs="Arial"/>
        </w:rPr>
        <w:t xml:space="preserve">, infrastructure vendors, and numbering administrators.  </w:t>
      </w:r>
    </w:p>
    <w:p w14:paraId="5F08769D" w14:textId="13202565" w:rsidR="00612C8C" w:rsidRDefault="00494024" w:rsidP="007D5FC0">
      <w:pPr>
        <w:ind w:right="990"/>
        <w:rPr>
          <w:rFonts w:ascii="Arial" w:hAnsi="Arial" w:cs="Arial"/>
        </w:rPr>
      </w:pPr>
      <w:r>
        <w:rPr>
          <w:rFonts w:ascii="Arial" w:hAnsi="Arial" w:cs="Arial"/>
        </w:rPr>
        <w:t>S</w:t>
      </w:r>
      <w:r w:rsidR="00107701" w:rsidRPr="00107701">
        <w:rPr>
          <w:rFonts w:ascii="Arial" w:hAnsi="Arial" w:cs="Arial"/>
        </w:rPr>
        <w:t xml:space="preserve">ince the NANC report only presented </w:t>
      </w:r>
      <w:r w:rsidR="007B4EAF">
        <w:rPr>
          <w:rFonts w:ascii="Arial" w:hAnsi="Arial" w:cs="Arial"/>
        </w:rPr>
        <w:t xml:space="preserve">the </w:t>
      </w:r>
      <w:proofErr w:type="gramStart"/>
      <w:r w:rsidR="00107701" w:rsidRPr="00107701">
        <w:rPr>
          <w:rFonts w:ascii="Arial" w:hAnsi="Arial" w:cs="Arial"/>
        </w:rPr>
        <w:t xml:space="preserve">1+14 </w:t>
      </w:r>
      <w:r w:rsidR="00332F83">
        <w:rPr>
          <w:rFonts w:ascii="Arial" w:hAnsi="Arial" w:cs="Arial"/>
        </w:rPr>
        <w:t>digit</w:t>
      </w:r>
      <w:proofErr w:type="gramEnd"/>
      <w:r w:rsidR="00332F83">
        <w:rPr>
          <w:rFonts w:ascii="Arial" w:hAnsi="Arial" w:cs="Arial"/>
        </w:rPr>
        <w:t xml:space="preserve"> expansion </w:t>
      </w:r>
      <w:r w:rsidR="00107701" w:rsidRPr="00107701">
        <w:rPr>
          <w:rFonts w:ascii="Arial" w:hAnsi="Arial" w:cs="Arial"/>
        </w:rPr>
        <w:t xml:space="preserve">as an option, not a recommendation, </w:t>
      </w:r>
      <w:r w:rsidR="004A0DB9">
        <w:rPr>
          <w:rFonts w:ascii="Arial" w:hAnsi="Arial" w:cs="Arial"/>
        </w:rPr>
        <w:t xml:space="preserve">there is potential for </w:t>
      </w:r>
      <w:r w:rsidR="00107701" w:rsidRPr="00107701">
        <w:rPr>
          <w:rFonts w:ascii="Arial" w:hAnsi="Arial" w:cs="Arial"/>
        </w:rPr>
        <w:t xml:space="preserve">the US </w:t>
      </w:r>
      <w:r w:rsidR="004A0DB9">
        <w:rPr>
          <w:rFonts w:ascii="Arial" w:hAnsi="Arial" w:cs="Arial"/>
        </w:rPr>
        <w:t xml:space="preserve">to </w:t>
      </w:r>
      <w:r w:rsidR="00107701" w:rsidRPr="00107701">
        <w:rPr>
          <w:rFonts w:ascii="Arial" w:hAnsi="Arial" w:cs="Arial"/>
        </w:rPr>
        <w:t xml:space="preserve">choose a different solution to mitigate non-geographic resource exhaustion. </w:t>
      </w:r>
      <w:r w:rsidR="004E2EB1" w:rsidRPr="004E2EB1">
        <w:rPr>
          <w:rFonts w:ascii="Arial" w:hAnsi="Arial" w:cs="Arial"/>
        </w:rPr>
        <w:t>Given the respective sizes of our markets, it is likely that Canada would significantly benefit from following the recommended options that are ultimately adopted in the US. As such,</w:t>
      </w:r>
      <w:r w:rsidR="004E2EB1">
        <w:rPr>
          <w:rFonts w:ascii="Arial" w:hAnsi="Arial" w:cs="Arial"/>
        </w:rPr>
        <w:t xml:space="preserve"> </w:t>
      </w:r>
      <w:r w:rsidR="004E2EB1" w:rsidRPr="00107701">
        <w:rPr>
          <w:rFonts w:ascii="Arial" w:hAnsi="Arial" w:cs="Arial"/>
        </w:rPr>
        <w:t>the</w:t>
      </w:r>
      <w:r w:rsidR="00107701" w:rsidRPr="00107701">
        <w:rPr>
          <w:rFonts w:ascii="Arial" w:hAnsi="Arial" w:cs="Arial"/>
        </w:rPr>
        <w:t xml:space="preserve"> impact of any </w:t>
      </w:r>
      <w:proofErr w:type="gramStart"/>
      <w:r w:rsidR="00107701" w:rsidRPr="00107701">
        <w:rPr>
          <w:rFonts w:ascii="Arial" w:hAnsi="Arial" w:cs="Arial"/>
        </w:rPr>
        <w:t>alternative choice</w:t>
      </w:r>
      <w:proofErr w:type="gramEnd"/>
      <w:r w:rsidR="0024596B">
        <w:rPr>
          <w:rFonts w:ascii="Arial" w:hAnsi="Arial" w:cs="Arial"/>
        </w:rPr>
        <w:t xml:space="preserve"> by the US</w:t>
      </w:r>
      <w:r w:rsidR="00107701" w:rsidRPr="00107701">
        <w:rPr>
          <w:rFonts w:ascii="Arial" w:hAnsi="Arial" w:cs="Arial"/>
        </w:rPr>
        <w:t xml:space="preserve"> would require analysis</w:t>
      </w:r>
      <w:r w:rsidR="00A8538E">
        <w:rPr>
          <w:rFonts w:ascii="Arial" w:hAnsi="Arial" w:cs="Arial"/>
        </w:rPr>
        <w:t xml:space="preserve"> by </w:t>
      </w:r>
      <w:r w:rsidR="00C3590C">
        <w:rPr>
          <w:rFonts w:ascii="Arial" w:hAnsi="Arial" w:cs="Arial"/>
        </w:rPr>
        <w:t xml:space="preserve">the </w:t>
      </w:r>
      <w:r w:rsidR="00A8538E">
        <w:rPr>
          <w:rFonts w:ascii="Arial" w:hAnsi="Arial" w:cs="Arial"/>
        </w:rPr>
        <w:t>CSCN</w:t>
      </w:r>
      <w:r w:rsidR="00107701" w:rsidRPr="00107701">
        <w:rPr>
          <w:rFonts w:ascii="Arial" w:hAnsi="Arial" w:cs="Arial"/>
        </w:rPr>
        <w:t xml:space="preserve"> in a future </w:t>
      </w:r>
      <w:r w:rsidR="00107701" w:rsidRPr="00107701">
        <w:rPr>
          <w:rFonts w:ascii="Arial" w:hAnsi="Arial" w:cs="Arial"/>
        </w:rPr>
        <w:lastRenderedPageBreak/>
        <w:t>report</w:t>
      </w:r>
      <w:r w:rsidR="00107701">
        <w:rPr>
          <w:rFonts w:ascii="Arial" w:hAnsi="Arial" w:cs="Arial"/>
        </w:rPr>
        <w:t xml:space="preserve"> to the </w:t>
      </w:r>
      <w:r w:rsidR="00272D10">
        <w:rPr>
          <w:rFonts w:ascii="Arial" w:hAnsi="Arial" w:cs="Arial"/>
        </w:rPr>
        <w:t xml:space="preserve">Canadian </w:t>
      </w:r>
      <w:r w:rsidR="006F2D41">
        <w:rPr>
          <w:rFonts w:ascii="Arial" w:hAnsi="Arial" w:cs="Arial"/>
        </w:rPr>
        <w:t>Radio-television and Telecommunications Comm</w:t>
      </w:r>
      <w:r w:rsidR="00A74423">
        <w:rPr>
          <w:rFonts w:ascii="Arial" w:hAnsi="Arial" w:cs="Arial"/>
        </w:rPr>
        <w:t>ission (</w:t>
      </w:r>
      <w:r w:rsidR="00107701">
        <w:rPr>
          <w:rFonts w:ascii="Arial" w:hAnsi="Arial" w:cs="Arial"/>
        </w:rPr>
        <w:t>CRTC</w:t>
      </w:r>
      <w:r w:rsidR="00A74423">
        <w:rPr>
          <w:rFonts w:ascii="Arial" w:hAnsi="Arial" w:cs="Arial"/>
        </w:rPr>
        <w:t>)</w:t>
      </w:r>
      <w:r w:rsidR="0024596B">
        <w:rPr>
          <w:rFonts w:ascii="Arial" w:hAnsi="Arial" w:cs="Arial"/>
        </w:rPr>
        <w:t>.</w:t>
      </w:r>
    </w:p>
    <w:p w14:paraId="2A374AEC" w14:textId="5FA264F0" w:rsidR="007D5FC0" w:rsidRDefault="001A7C96" w:rsidP="00D22CB8">
      <w:pPr>
        <w:ind w:right="990"/>
        <w:rPr>
          <w:rFonts w:ascii="Arial" w:hAnsi="Arial" w:cs="Arial"/>
        </w:rPr>
      </w:pPr>
      <w:r>
        <w:rPr>
          <w:rFonts w:ascii="Arial" w:hAnsi="Arial" w:cs="Arial"/>
        </w:rPr>
        <w:t>An expanded numbering format</w:t>
      </w:r>
      <w:r w:rsidR="00612C8C">
        <w:rPr>
          <w:rFonts w:ascii="Arial" w:hAnsi="Arial" w:cs="Arial"/>
        </w:rPr>
        <w:t xml:space="preserve"> </w:t>
      </w:r>
      <w:r w:rsidR="000878C9">
        <w:rPr>
          <w:rFonts w:ascii="Arial" w:hAnsi="Arial" w:cs="Arial"/>
        </w:rPr>
        <w:t>will</w:t>
      </w:r>
      <w:r w:rsidR="00612C8C" w:rsidRPr="00612C8C">
        <w:rPr>
          <w:rFonts w:ascii="Arial" w:hAnsi="Arial" w:cs="Arial"/>
        </w:rPr>
        <w:t xml:space="preserve"> </w:t>
      </w:r>
      <w:r w:rsidR="00E42B3C" w:rsidRPr="00612C8C">
        <w:rPr>
          <w:rFonts w:ascii="Arial" w:hAnsi="Arial" w:cs="Arial"/>
        </w:rPr>
        <w:t>require</w:t>
      </w:r>
      <w:r w:rsidR="00612C8C">
        <w:rPr>
          <w:rFonts w:ascii="Arial" w:hAnsi="Arial" w:cs="Arial"/>
        </w:rPr>
        <w:t xml:space="preserve"> significant </w:t>
      </w:r>
      <w:r w:rsidR="00612C8C" w:rsidRPr="00612C8C">
        <w:rPr>
          <w:rFonts w:ascii="Arial" w:hAnsi="Arial" w:cs="Arial"/>
        </w:rPr>
        <w:t xml:space="preserve">investment in network infrastructure, support systems, and the </w:t>
      </w:r>
      <w:r w:rsidR="00D5245C">
        <w:rPr>
          <w:rFonts w:ascii="Arial" w:hAnsi="Arial" w:cs="Arial"/>
        </w:rPr>
        <w:t>Canadian N</w:t>
      </w:r>
      <w:r w:rsidR="00C87DFD">
        <w:rPr>
          <w:rFonts w:ascii="Arial" w:hAnsi="Arial" w:cs="Arial"/>
        </w:rPr>
        <w:t>umbering Administrator’s (</w:t>
      </w:r>
      <w:r w:rsidR="00612C8C" w:rsidRPr="00612C8C">
        <w:rPr>
          <w:rFonts w:ascii="Arial" w:hAnsi="Arial" w:cs="Arial"/>
        </w:rPr>
        <w:t>CNA's</w:t>
      </w:r>
      <w:r w:rsidR="00C87DFD">
        <w:rPr>
          <w:rFonts w:ascii="Arial" w:hAnsi="Arial" w:cs="Arial"/>
        </w:rPr>
        <w:t>)</w:t>
      </w:r>
      <w:r w:rsidR="00612C8C" w:rsidRPr="00612C8C">
        <w:rPr>
          <w:rFonts w:ascii="Arial" w:hAnsi="Arial" w:cs="Arial"/>
        </w:rPr>
        <w:t xml:space="preserve"> number</w:t>
      </w:r>
      <w:r w:rsidR="00202456">
        <w:rPr>
          <w:rFonts w:ascii="Arial" w:hAnsi="Arial" w:cs="Arial"/>
        </w:rPr>
        <w:t>ing</w:t>
      </w:r>
      <w:r w:rsidR="00612C8C" w:rsidRPr="00612C8C">
        <w:rPr>
          <w:rFonts w:ascii="Arial" w:hAnsi="Arial" w:cs="Arial"/>
        </w:rPr>
        <w:t xml:space="preserve"> administration system. </w:t>
      </w:r>
      <w:r w:rsidR="00612C8C">
        <w:rPr>
          <w:rFonts w:ascii="Arial" w:hAnsi="Arial" w:cs="Arial"/>
        </w:rPr>
        <w:t>As such, following a CRTC Decision and approved Guidelines c</w:t>
      </w:r>
      <w:r w:rsidR="00612C8C" w:rsidRPr="00612C8C">
        <w:rPr>
          <w:rFonts w:ascii="Arial" w:hAnsi="Arial" w:cs="Arial"/>
        </w:rPr>
        <w:t xml:space="preserve">arriers would require </w:t>
      </w:r>
      <w:r w:rsidR="00F01FA6">
        <w:rPr>
          <w:rFonts w:ascii="Arial" w:hAnsi="Arial" w:cs="Arial"/>
        </w:rPr>
        <w:t>three</w:t>
      </w:r>
      <w:r w:rsidR="00612C8C" w:rsidRPr="00612C8C">
        <w:rPr>
          <w:rFonts w:ascii="Arial" w:hAnsi="Arial" w:cs="Arial"/>
        </w:rPr>
        <w:t xml:space="preserve"> years </w:t>
      </w:r>
      <w:r w:rsidR="00612C8C">
        <w:rPr>
          <w:rFonts w:ascii="Arial" w:hAnsi="Arial" w:cs="Arial"/>
        </w:rPr>
        <w:t>t</w:t>
      </w:r>
      <w:r w:rsidR="00612C8C" w:rsidRPr="00612C8C">
        <w:rPr>
          <w:rFonts w:ascii="Arial" w:hAnsi="Arial" w:cs="Arial"/>
        </w:rPr>
        <w:t xml:space="preserve">o implement </w:t>
      </w:r>
      <w:r w:rsidR="00612C8C">
        <w:rPr>
          <w:rFonts w:ascii="Arial" w:hAnsi="Arial" w:cs="Arial"/>
        </w:rPr>
        <w:t xml:space="preserve">this option. </w:t>
      </w:r>
      <w:r w:rsidR="00680E68">
        <w:rPr>
          <w:rFonts w:ascii="Arial" w:hAnsi="Arial" w:cs="Arial"/>
        </w:rPr>
        <w:t xml:space="preserve">Should </w:t>
      </w:r>
      <w:r w:rsidR="00FE03D8">
        <w:rPr>
          <w:rFonts w:ascii="Arial" w:hAnsi="Arial" w:cs="Arial"/>
        </w:rPr>
        <w:t>Canada’s</w:t>
      </w:r>
      <w:r w:rsidR="00680E68" w:rsidRPr="00680E68">
        <w:rPr>
          <w:rFonts w:ascii="Arial" w:hAnsi="Arial" w:cs="Arial"/>
        </w:rPr>
        <w:t xml:space="preserve"> current number inventory deplete</w:t>
      </w:r>
      <w:r w:rsidR="00CB741D">
        <w:rPr>
          <w:rFonts w:ascii="Arial" w:hAnsi="Arial" w:cs="Arial"/>
        </w:rPr>
        <w:t>,</w:t>
      </w:r>
      <w:r w:rsidR="00680E68">
        <w:rPr>
          <w:rFonts w:ascii="Arial" w:hAnsi="Arial" w:cs="Arial"/>
        </w:rPr>
        <w:t xml:space="preserve"> prior to the implementation </w:t>
      </w:r>
      <w:r w:rsidR="004C5214">
        <w:rPr>
          <w:rFonts w:ascii="Arial" w:hAnsi="Arial" w:cs="Arial"/>
        </w:rPr>
        <w:t>of the</w:t>
      </w:r>
      <w:r w:rsidR="00CB741D">
        <w:rPr>
          <w:rFonts w:ascii="Arial" w:hAnsi="Arial" w:cs="Arial"/>
        </w:rPr>
        <w:t xml:space="preserve"> </w:t>
      </w:r>
      <w:r w:rsidR="00B626E3">
        <w:rPr>
          <w:rFonts w:ascii="Arial" w:hAnsi="Arial" w:cs="Arial"/>
        </w:rPr>
        <w:t>expanded format</w:t>
      </w:r>
      <w:r w:rsidR="00CB741D">
        <w:rPr>
          <w:rFonts w:ascii="Arial" w:hAnsi="Arial" w:cs="Arial"/>
        </w:rPr>
        <w:t xml:space="preserve"> solution</w:t>
      </w:r>
      <w:r w:rsidR="00680E68" w:rsidRPr="00680E68">
        <w:rPr>
          <w:rFonts w:ascii="Arial" w:hAnsi="Arial" w:cs="Arial"/>
        </w:rPr>
        <w:t>,</w:t>
      </w:r>
      <w:r w:rsidR="000F6F10" w:rsidRPr="000F6F10">
        <w:rPr>
          <w:rFonts w:ascii="Arial" w:hAnsi="Arial" w:cs="Arial"/>
        </w:rPr>
        <w:t xml:space="preserve"> </w:t>
      </w:r>
      <w:r w:rsidR="001D2389">
        <w:rPr>
          <w:rFonts w:ascii="Arial" w:hAnsi="Arial" w:cs="Arial"/>
        </w:rPr>
        <w:t>or an</w:t>
      </w:r>
      <w:r w:rsidR="000F6F10" w:rsidRPr="000F6F10">
        <w:rPr>
          <w:rFonts w:ascii="Arial" w:hAnsi="Arial" w:cs="Arial"/>
        </w:rPr>
        <w:t>other solution is ultimately adopted</w:t>
      </w:r>
      <w:r w:rsidR="000F6F10">
        <w:rPr>
          <w:rFonts w:ascii="Arial" w:hAnsi="Arial" w:cs="Arial"/>
        </w:rPr>
        <w:t>,</w:t>
      </w:r>
      <w:r w:rsidR="00680E68" w:rsidRPr="00680E68">
        <w:rPr>
          <w:rFonts w:ascii="Arial" w:hAnsi="Arial" w:cs="Arial"/>
        </w:rPr>
        <w:t xml:space="preserve"> the CSCN recommends requesting additional non-geographic </w:t>
      </w:r>
      <w:r w:rsidR="0037703A">
        <w:rPr>
          <w:rFonts w:ascii="Arial" w:hAnsi="Arial" w:cs="Arial"/>
        </w:rPr>
        <w:t>resources</w:t>
      </w:r>
      <w:r w:rsidR="00680E68" w:rsidRPr="00680E68">
        <w:rPr>
          <w:rFonts w:ascii="Arial" w:hAnsi="Arial" w:cs="Arial"/>
        </w:rPr>
        <w:t xml:space="preserve"> from </w:t>
      </w:r>
      <w:r w:rsidR="0062441A">
        <w:rPr>
          <w:rFonts w:ascii="Arial" w:hAnsi="Arial" w:cs="Arial"/>
        </w:rPr>
        <w:t xml:space="preserve">the North </w:t>
      </w:r>
      <w:r w:rsidR="00704B13">
        <w:rPr>
          <w:rFonts w:ascii="Arial" w:hAnsi="Arial" w:cs="Arial"/>
        </w:rPr>
        <w:t xml:space="preserve">American Numbering Plan Administrator </w:t>
      </w:r>
      <w:r w:rsidR="00844433">
        <w:rPr>
          <w:rFonts w:ascii="Arial" w:hAnsi="Arial" w:cs="Arial"/>
        </w:rPr>
        <w:t>(</w:t>
      </w:r>
      <w:r w:rsidR="00680E68" w:rsidRPr="00680E68">
        <w:rPr>
          <w:rFonts w:ascii="Arial" w:hAnsi="Arial" w:cs="Arial"/>
        </w:rPr>
        <w:t>N</w:t>
      </w:r>
      <w:r w:rsidR="0037703A">
        <w:rPr>
          <w:rFonts w:ascii="Arial" w:hAnsi="Arial" w:cs="Arial"/>
        </w:rPr>
        <w:t>A</w:t>
      </w:r>
      <w:r w:rsidR="00FE03D8">
        <w:rPr>
          <w:rFonts w:ascii="Arial" w:hAnsi="Arial" w:cs="Arial"/>
        </w:rPr>
        <w:t>N</w:t>
      </w:r>
      <w:r w:rsidR="00680E68" w:rsidRPr="00680E68">
        <w:rPr>
          <w:rFonts w:ascii="Arial" w:hAnsi="Arial" w:cs="Arial"/>
        </w:rPr>
        <w:t>PA</w:t>
      </w:r>
      <w:r w:rsidR="00844433">
        <w:rPr>
          <w:rFonts w:ascii="Arial" w:hAnsi="Arial" w:cs="Arial"/>
        </w:rPr>
        <w:t>)</w:t>
      </w:r>
      <w:r w:rsidR="00680E68" w:rsidRPr="00680E68">
        <w:rPr>
          <w:rFonts w:ascii="Arial" w:hAnsi="Arial" w:cs="Arial"/>
        </w:rPr>
        <w:t xml:space="preserve"> for allocation in Canada.</w:t>
      </w:r>
    </w:p>
    <w:p w14:paraId="2F1619C1" w14:textId="021FFC3F" w:rsidR="007A4D39" w:rsidRPr="00811630" w:rsidRDefault="007A4D39" w:rsidP="007A4D39">
      <w:pPr>
        <w:pStyle w:val="Heading1"/>
        <w:numPr>
          <w:ilvl w:val="0"/>
          <w:numId w:val="9"/>
        </w:numPr>
        <w:ind w:left="720" w:hanging="720"/>
        <w:rPr>
          <w:rFonts w:ascii="Arial" w:hAnsi="Arial"/>
          <w:color w:val="auto"/>
          <w:sz w:val="24"/>
          <w:szCs w:val="24"/>
        </w:rPr>
      </w:pPr>
      <w:r w:rsidRPr="00811630">
        <w:rPr>
          <w:rFonts w:ascii="Arial" w:hAnsi="Arial"/>
          <w:color w:val="auto"/>
          <w:sz w:val="24"/>
          <w:szCs w:val="24"/>
        </w:rPr>
        <w:t>Background</w:t>
      </w:r>
    </w:p>
    <w:p w14:paraId="22EDDC24" w14:textId="5C07566A" w:rsidR="00C43AE2" w:rsidRPr="00C43AE2" w:rsidRDefault="00C43AE2" w:rsidP="00C43AE2"/>
    <w:p w14:paraId="49D9EE29" w14:textId="2C4A9479" w:rsidR="00A2739E" w:rsidRDefault="00220A98" w:rsidP="00E441E8">
      <w:pPr>
        <w:rPr>
          <w:rFonts w:ascii="Arial" w:hAnsi="Arial" w:cs="Arial"/>
        </w:rPr>
      </w:pPr>
      <w:r>
        <w:rPr>
          <w:rFonts w:ascii="Arial" w:hAnsi="Arial" w:cs="Arial"/>
        </w:rPr>
        <w:t>In</w:t>
      </w:r>
      <w:r w:rsidR="006B51F8">
        <w:rPr>
          <w:rFonts w:ascii="Arial" w:hAnsi="Arial" w:cs="Arial"/>
        </w:rPr>
        <w:t xml:space="preserve"> Section 4.7 of</w:t>
      </w:r>
      <w:r>
        <w:rPr>
          <w:rFonts w:ascii="Arial" w:hAnsi="Arial" w:cs="Arial"/>
        </w:rPr>
        <w:t xml:space="preserve"> </w:t>
      </w:r>
      <w:hyperlink r:id="rId12" w:history="1">
        <w:r w:rsidRPr="00724E17">
          <w:rPr>
            <w:rStyle w:val="Hyperlink"/>
            <w:rFonts w:ascii="Arial" w:hAnsi="Arial" w:cs="Arial"/>
          </w:rPr>
          <w:t>CNRE138B</w:t>
        </w:r>
      </w:hyperlink>
      <w:r>
        <w:rPr>
          <w:rFonts w:ascii="Arial" w:hAnsi="Arial" w:cs="Arial"/>
        </w:rPr>
        <w:t>, the CSCN identified</w:t>
      </w:r>
      <w:r w:rsidR="002A296E">
        <w:rPr>
          <w:rFonts w:ascii="Arial" w:hAnsi="Arial" w:cs="Arial"/>
        </w:rPr>
        <w:t xml:space="preserve"> the following</w:t>
      </w:r>
      <w:r>
        <w:rPr>
          <w:rFonts w:ascii="Arial" w:hAnsi="Arial" w:cs="Arial"/>
        </w:rPr>
        <w:t xml:space="preserve"> two Relief Options</w:t>
      </w:r>
      <w:r w:rsidR="00501933">
        <w:rPr>
          <w:rFonts w:ascii="Arial" w:hAnsi="Arial" w:cs="Arial"/>
        </w:rPr>
        <w:t xml:space="preserve"> that would significantly extend the lifespan of </w:t>
      </w:r>
      <w:r w:rsidR="00602DC8">
        <w:rPr>
          <w:rFonts w:ascii="Arial" w:hAnsi="Arial" w:cs="Arial"/>
        </w:rPr>
        <w:t>Canada’s non geographic resources</w:t>
      </w:r>
      <w:r w:rsidR="00AF2BF0">
        <w:rPr>
          <w:rFonts w:ascii="Arial" w:hAnsi="Arial" w:cs="Arial"/>
        </w:rPr>
        <w:t>:</w:t>
      </w:r>
    </w:p>
    <w:p w14:paraId="2444BD63" w14:textId="6805FA4E" w:rsidR="002A296E" w:rsidRDefault="00C0718F" w:rsidP="00E441E8">
      <w:pPr>
        <w:rPr>
          <w:rFonts w:ascii="Arial" w:hAnsi="Arial" w:cs="Arial"/>
        </w:rPr>
      </w:pPr>
      <w:r>
        <w:rPr>
          <w:rFonts w:ascii="Arial" w:hAnsi="Arial" w:cs="Arial"/>
        </w:rPr>
        <w:t>-</w:t>
      </w:r>
      <w:r w:rsidR="00A2739E">
        <w:rPr>
          <w:rFonts w:ascii="Arial" w:hAnsi="Arial" w:cs="Arial"/>
        </w:rPr>
        <w:tab/>
      </w:r>
      <w:r w:rsidR="00EC7835" w:rsidRPr="00EC7835">
        <w:rPr>
          <w:rFonts w:ascii="Arial" w:hAnsi="Arial" w:cs="Arial"/>
        </w:rPr>
        <w:t>Option 7A</w:t>
      </w:r>
      <w:r w:rsidR="00494024">
        <w:rPr>
          <w:rFonts w:ascii="Arial" w:hAnsi="Arial" w:cs="Arial"/>
        </w:rPr>
        <w:t xml:space="preserve">, </w:t>
      </w:r>
      <w:r w:rsidR="007E781E">
        <w:rPr>
          <w:rFonts w:ascii="Arial" w:hAnsi="Arial" w:cs="Arial"/>
        </w:rPr>
        <w:t>u</w:t>
      </w:r>
      <w:r w:rsidR="00EC7835" w:rsidRPr="00EC7835">
        <w:rPr>
          <w:rFonts w:ascii="Arial" w:hAnsi="Arial" w:cs="Arial"/>
        </w:rPr>
        <w:t xml:space="preserve">se </w:t>
      </w:r>
      <w:r w:rsidR="00E441E8">
        <w:rPr>
          <w:rFonts w:ascii="Arial" w:hAnsi="Arial" w:cs="Arial"/>
        </w:rPr>
        <w:t xml:space="preserve">of </w:t>
      </w:r>
      <w:r w:rsidR="00EC7835" w:rsidRPr="00EC7835">
        <w:rPr>
          <w:rFonts w:ascii="Arial" w:hAnsi="Arial" w:cs="Arial"/>
        </w:rPr>
        <w:t>1+12-digit TNs</w:t>
      </w:r>
      <w:r w:rsidR="008309D4">
        <w:rPr>
          <w:rFonts w:ascii="Arial" w:hAnsi="Arial" w:cs="Arial"/>
        </w:rPr>
        <w:t xml:space="preserve"> </w:t>
      </w:r>
      <w:r w:rsidR="00B64FB9">
        <w:rPr>
          <w:rFonts w:ascii="Arial" w:hAnsi="Arial" w:cs="Arial"/>
        </w:rPr>
        <w:t>[Telephone Numbers]</w:t>
      </w:r>
      <w:r w:rsidR="00EC7835" w:rsidRPr="00EC7835">
        <w:rPr>
          <w:rFonts w:ascii="Arial" w:hAnsi="Arial" w:cs="Arial"/>
        </w:rPr>
        <w:t xml:space="preserve"> in </w:t>
      </w:r>
      <w:r w:rsidR="00AF2BF0">
        <w:rPr>
          <w:rFonts w:ascii="Arial" w:hAnsi="Arial" w:cs="Arial"/>
        </w:rPr>
        <w:t xml:space="preserve">an </w:t>
      </w:r>
      <w:r w:rsidR="00EC7835" w:rsidRPr="00EC7835">
        <w:rPr>
          <w:rFonts w:ascii="Arial" w:hAnsi="Arial" w:cs="Arial"/>
        </w:rPr>
        <w:t>unused 6YY NPA</w:t>
      </w:r>
      <w:r w:rsidR="002A296E">
        <w:rPr>
          <w:rFonts w:ascii="Arial" w:hAnsi="Arial" w:cs="Arial"/>
        </w:rPr>
        <w:t xml:space="preserve"> and</w:t>
      </w:r>
      <w:r w:rsidR="002A296E" w:rsidRPr="002A296E">
        <w:rPr>
          <w:rFonts w:ascii="Arial" w:hAnsi="Arial"/>
          <w:color w:val="000000" w:themeColor="text1"/>
        </w:rPr>
        <w:t xml:space="preserve"> </w:t>
      </w:r>
      <w:r w:rsidR="002A296E" w:rsidRPr="002A296E">
        <w:rPr>
          <w:rFonts w:ascii="Arial" w:hAnsi="Arial" w:cs="Arial"/>
        </w:rPr>
        <w:t>Option 7B</w:t>
      </w:r>
      <w:r w:rsidR="007E781E">
        <w:rPr>
          <w:rFonts w:ascii="Arial" w:hAnsi="Arial" w:cs="Arial"/>
        </w:rPr>
        <w:t>, u</w:t>
      </w:r>
      <w:r w:rsidR="002A296E" w:rsidRPr="002A296E">
        <w:rPr>
          <w:rFonts w:ascii="Arial" w:hAnsi="Arial" w:cs="Arial"/>
        </w:rPr>
        <w:t xml:space="preserve">se </w:t>
      </w:r>
      <w:r w:rsidR="00E441E8">
        <w:rPr>
          <w:rFonts w:ascii="Arial" w:hAnsi="Arial" w:cs="Arial"/>
        </w:rPr>
        <w:t xml:space="preserve">of </w:t>
      </w:r>
      <w:r w:rsidR="002A296E" w:rsidRPr="002A296E">
        <w:rPr>
          <w:rFonts w:ascii="Arial" w:hAnsi="Arial" w:cs="Arial"/>
        </w:rPr>
        <w:t>1+14-digit TNs in unused 6YY NPAs</w:t>
      </w:r>
      <w:r w:rsidR="002A296E">
        <w:rPr>
          <w:rFonts w:ascii="Arial" w:hAnsi="Arial" w:cs="Arial"/>
        </w:rPr>
        <w:t xml:space="preserve">. </w:t>
      </w:r>
      <w:r w:rsidR="007E781E">
        <w:rPr>
          <w:rFonts w:ascii="Arial" w:hAnsi="Arial" w:cs="Arial"/>
        </w:rPr>
        <w:t xml:space="preserve"> </w:t>
      </w:r>
      <w:r w:rsidR="00E441E8">
        <w:rPr>
          <w:rFonts w:ascii="Arial" w:hAnsi="Arial" w:cs="Arial"/>
        </w:rPr>
        <w:t>Both</w:t>
      </w:r>
      <w:r w:rsidR="002A296E">
        <w:rPr>
          <w:rFonts w:ascii="Arial" w:hAnsi="Arial" w:cs="Arial"/>
        </w:rPr>
        <w:t xml:space="preserve"> solutions </w:t>
      </w:r>
      <w:r w:rsidR="002A296E">
        <w:rPr>
          <w:rFonts w:ascii="Arial" w:hAnsi="Arial" w:cs="Arial"/>
          <w:bCs/>
        </w:rPr>
        <w:t xml:space="preserve">were identified as </w:t>
      </w:r>
      <w:r w:rsidR="00731B46">
        <w:rPr>
          <w:rFonts w:ascii="Arial" w:hAnsi="Arial" w:cs="Arial"/>
          <w:bCs/>
        </w:rPr>
        <w:t xml:space="preserve">full solutions </w:t>
      </w:r>
      <w:r w:rsidR="00E441E8">
        <w:rPr>
          <w:rFonts w:ascii="Arial" w:hAnsi="Arial" w:cs="Arial"/>
          <w:bCs/>
        </w:rPr>
        <w:t xml:space="preserve">in that </w:t>
      </w:r>
      <w:r w:rsidR="007B0438">
        <w:rPr>
          <w:rFonts w:ascii="Arial" w:hAnsi="Arial" w:cs="Arial"/>
          <w:bCs/>
        </w:rPr>
        <w:t>they are</w:t>
      </w:r>
      <w:r w:rsidR="002A296E" w:rsidRPr="002A296E">
        <w:rPr>
          <w:rFonts w:ascii="Arial" w:hAnsi="Arial" w:cs="Arial"/>
        </w:rPr>
        <w:t xml:space="preserve"> expected to provide sufficient non-geographic numbers for Canada’s needs until the NANPE [North American Numbering Plan Expansion] relief date, </w:t>
      </w:r>
      <w:r w:rsidR="007B0438">
        <w:rPr>
          <w:rFonts w:ascii="Arial" w:hAnsi="Arial" w:cs="Arial"/>
        </w:rPr>
        <w:t>which</w:t>
      </w:r>
      <w:r w:rsidR="002A296E" w:rsidRPr="002A296E">
        <w:rPr>
          <w:rFonts w:ascii="Arial" w:hAnsi="Arial" w:cs="Arial"/>
        </w:rPr>
        <w:t xml:space="preserve"> support inter-network communication between non-geographic IoT [Internet of Things] applications and that can be achieved by the Commission and the Canadian industry independently (i.e., with no reliance on NANPA).</w:t>
      </w:r>
    </w:p>
    <w:p w14:paraId="3EED86AE" w14:textId="72D4CDC6" w:rsidR="004039B5" w:rsidRPr="002A296E" w:rsidRDefault="00007F2A" w:rsidP="00E441E8">
      <w:pPr>
        <w:rPr>
          <w:rFonts w:ascii="Arial" w:hAnsi="Arial" w:cs="Arial"/>
        </w:rPr>
      </w:pPr>
      <w:r>
        <w:rPr>
          <w:rFonts w:ascii="Arial" w:hAnsi="Arial" w:cs="Arial"/>
        </w:rPr>
        <w:t xml:space="preserve">Option </w:t>
      </w:r>
      <w:r w:rsidR="00FC7DCA">
        <w:rPr>
          <w:rFonts w:ascii="Arial" w:hAnsi="Arial" w:cs="Arial"/>
        </w:rPr>
        <w:t>7 A and B are further</w:t>
      </w:r>
      <w:r w:rsidR="005515ED">
        <w:rPr>
          <w:rFonts w:ascii="Arial" w:hAnsi="Arial" w:cs="Arial"/>
        </w:rPr>
        <w:t xml:space="preserve"> described as follows:</w:t>
      </w:r>
    </w:p>
    <w:p w14:paraId="299E73E4" w14:textId="77777777" w:rsidR="003B6FBF" w:rsidRPr="00EC0CA7" w:rsidRDefault="003B6FBF" w:rsidP="001C3E92">
      <w:pPr>
        <w:pStyle w:val="Heading1"/>
        <w:numPr>
          <w:ilvl w:val="1"/>
          <w:numId w:val="3"/>
        </w:numPr>
        <w:ind w:left="1080" w:right="1170"/>
        <w:rPr>
          <w:rFonts w:ascii="Arial" w:hAnsi="Arial"/>
          <w:color w:val="000000" w:themeColor="text1"/>
          <w:sz w:val="22"/>
          <w:szCs w:val="22"/>
        </w:rPr>
      </w:pPr>
      <w:bookmarkStart w:id="0" w:name="_Toc156387045"/>
      <w:bookmarkStart w:id="1" w:name="_Toc162946401"/>
      <w:r w:rsidRPr="00EC0CA7">
        <w:rPr>
          <w:rFonts w:ascii="Arial" w:hAnsi="Arial"/>
          <w:color w:val="000000" w:themeColor="text1"/>
          <w:sz w:val="22"/>
          <w:szCs w:val="22"/>
        </w:rPr>
        <w:t>Option 7:  Extended 6YY NPAs</w:t>
      </w:r>
      <w:bookmarkEnd w:id="0"/>
      <w:bookmarkEnd w:id="1"/>
    </w:p>
    <w:p w14:paraId="3ED0BFFB" w14:textId="77777777" w:rsidR="003B6FBF" w:rsidRDefault="003B6FBF" w:rsidP="001C3E92">
      <w:pPr>
        <w:ind w:right="1170"/>
      </w:pPr>
    </w:p>
    <w:p w14:paraId="6961C4F7" w14:textId="331F9990" w:rsidR="003B6FBF" w:rsidRDefault="003B6FBF" w:rsidP="001C3E92">
      <w:pPr>
        <w:ind w:left="720" w:right="1170"/>
        <w:rPr>
          <w:rFonts w:ascii="Arial" w:hAnsi="Arial" w:cs="Arial"/>
        </w:rPr>
      </w:pPr>
      <w:r>
        <w:rPr>
          <w:rFonts w:ascii="Arial" w:hAnsi="Arial" w:cs="Arial"/>
        </w:rPr>
        <w:t xml:space="preserve">Option 7 makes more </w:t>
      </w:r>
      <w:r w:rsidR="00711BE9">
        <w:rPr>
          <w:rFonts w:ascii="Arial" w:hAnsi="Arial" w:cs="Arial"/>
        </w:rPr>
        <w:t xml:space="preserve">[Telephone Numbers] </w:t>
      </w:r>
      <w:r>
        <w:rPr>
          <w:rFonts w:ascii="Arial" w:hAnsi="Arial" w:cs="Arial"/>
        </w:rPr>
        <w:t xml:space="preserve">TNs available in unassigned </w:t>
      </w:r>
      <w:r w:rsidRPr="00244DB3">
        <w:rPr>
          <w:rFonts w:ascii="Arial" w:hAnsi="Arial" w:cs="Arial"/>
        </w:rPr>
        <w:t xml:space="preserve">6YY </w:t>
      </w:r>
      <w:r>
        <w:rPr>
          <w:rFonts w:ascii="Arial" w:hAnsi="Arial" w:cs="Arial"/>
        </w:rPr>
        <w:t>NPAs by extending the number of digits from 1+</w:t>
      </w:r>
      <w:r w:rsidRPr="006E33C3">
        <w:rPr>
          <w:rFonts w:ascii="Arial" w:hAnsi="Arial" w:cs="Arial"/>
        </w:rPr>
        <w:t>10</w:t>
      </w:r>
      <w:r>
        <w:rPr>
          <w:rFonts w:ascii="Arial" w:hAnsi="Arial" w:cs="Arial"/>
        </w:rPr>
        <w:t xml:space="preserve"> to 1+</w:t>
      </w:r>
      <w:r w:rsidRPr="006E33C3">
        <w:rPr>
          <w:rFonts w:ascii="Arial" w:hAnsi="Arial" w:cs="Arial"/>
        </w:rPr>
        <w:t>12</w:t>
      </w:r>
      <w:r>
        <w:rPr>
          <w:rFonts w:ascii="Arial" w:hAnsi="Arial" w:cs="Arial"/>
        </w:rPr>
        <w:t xml:space="preserve"> (Option 7A) or 1+14 (Option 7B).  </w:t>
      </w:r>
      <w:r w:rsidRPr="00244DB3">
        <w:rPr>
          <w:rFonts w:ascii="Arial" w:hAnsi="Arial" w:cs="Arial"/>
        </w:rPr>
        <w:t>Several European countries have adopted a form of this method</w:t>
      </w:r>
      <w:r>
        <w:rPr>
          <w:rFonts w:ascii="Arial" w:hAnsi="Arial" w:cs="Arial"/>
        </w:rPr>
        <w:t xml:space="preserve"> for IoT/M2M services</w:t>
      </w:r>
      <w:r w:rsidRPr="00244DB3">
        <w:rPr>
          <w:rFonts w:ascii="Arial" w:hAnsi="Arial" w:cs="Arial"/>
        </w:rPr>
        <w:t>.</w:t>
      </w:r>
      <w:r>
        <w:rPr>
          <w:rStyle w:val="FootnoteReference"/>
          <w:rFonts w:ascii="Arial" w:hAnsi="Arial" w:cs="Arial"/>
        </w:rPr>
        <w:footnoteReference w:id="1"/>
      </w:r>
    </w:p>
    <w:p w14:paraId="66CE2E31" w14:textId="56FD4EBC" w:rsidR="003B6FBF" w:rsidRDefault="003B6FBF" w:rsidP="001C3E92">
      <w:pPr>
        <w:ind w:left="720" w:right="1170"/>
        <w:rPr>
          <w:rFonts w:ascii="Arial" w:hAnsi="Arial" w:cs="Arial"/>
        </w:rPr>
      </w:pPr>
      <w:r>
        <w:rPr>
          <w:rFonts w:ascii="Arial" w:hAnsi="Arial" w:cs="Arial"/>
        </w:rPr>
        <w:t xml:space="preserve">Both Options 7A and 7B would require </w:t>
      </w:r>
      <w:r w:rsidRPr="00F4329B">
        <w:rPr>
          <w:rFonts w:ascii="Arial" w:hAnsi="Arial" w:cs="Arial"/>
        </w:rPr>
        <w:t>at least two to three years</w:t>
      </w:r>
      <w:r>
        <w:rPr>
          <w:rFonts w:ascii="Arial" w:hAnsi="Arial" w:cs="Arial"/>
        </w:rPr>
        <w:t xml:space="preserve"> to implement. This is due to </w:t>
      </w:r>
      <w:r w:rsidRPr="0069486A">
        <w:rPr>
          <w:rFonts w:ascii="Arial" w:hAnsi="Arial" w:cs="Arial"/>
        </w:rPr>
        <w:t xml:space="preserve">required </w:t>
      </w:r>
      <w:r>
        <w:rPr>
          <w:rFonts w:ascii="Arial" w:hAnsi="Arial" w:cs="Arial"/>
        </w:rPr>
        <w:t xml:space="preserve">upgrades to </w:t>
      </w:r>
      <w:r w:rsidR="0015665B" w:rsidRPr="0015665B">
        <w:rPr>
          <w:rFonts w:ascii="Arial" w:hAnsi="Arial" w:cs="Arial"/>
        </w:rPr>
        <w:t>carrier</w:t>
      </w:r>
      <w:r w:rsidR="0015665B">
        <w:rPr>
          <w:rFonts w:ascii="Arial" w:hAnsi="Arial" w:cs="Arial"/>
        </w:rPr>
        <w:t xml:space="preserve"> </w:t>
      </w:r>
      <w:r w:rsidRPr="0069486A">
        <w:rPr>
          <w:rFonts w:ascii="Arial" w:hAnsi="Arial" w:cs="Arial"/>
        </w:rPr>
        <w:t>network element</w:t>
      </w:r>
      <w:r>
        <w:rPr>
          <w:rFonts w:ascii="Arial" w:hAnsi="Arial" w:cs="Arial"/>
        </w:rPr>
        <w:t xml:space="preserve">s and support systems, </w:t>
      </w:r>
      <w:r w:rsidRPr="007220B7">
        <w:rPr>
          <w:rFonts w:ascii="Arial" w:hAnsi="Arial" w:cs="Arial"/>
        </w:rPr>
        <w:t xml:space="preserve">and the CNA’s number </w:t>
      </w:r>
      <w:r w:rsidRPr="00260FF3">
        <w:rPr>
          <w:rFonts w:ascii="Arial" w:hAnsi="Arial" w:cs="Arial"/>
        </w:rPr>
        <w:t>administration system</w:t>
      </w:r>
      <w:r w:rsidRPr="0069486A">
        <w:rPr>
          <w:rFonts w:ascii="Arial" w:hAnsi="Arial" w:cs="Arial"/>
        </w:rPr>
        <w:t>.</w:t>
      </w:r>
      <w:r>
        <w:rPr>
          <w:rFonts w:ascii="Arial" w:hAnsi="Arial" w:cs="Arial"/>
        </w:rPr>
        <w:t xml:space="preserve">  During this </w:t>
      </w:r>
      <w:proofErr w:type="gramStart"/>
      <w:r>
        <w:rPr>
          <w:rFonts w:ascii="Arial" w:hAnsi="Arial" w:cs="Arial"/>
        </w:rPr>
        <w:t>time period</w:t>
      </w:r>
      <w:proofErr w:type="gramEnd"/>
      <w:r>
        <w:rPr>
          <w:rFonts w:ascii="Arial" w:hAnsi="Arial" w:cs="Arial"/>
        </w:rPr>
        <w:t>, more 6YY NPAs will be assigned, leaving fewer available 6YY NPAs for extension.  However, the quantity of additional TNs that can be made available by extending the unused 6YY NPAs would be very high.</w:t>
      </w:r>
    </w:p>
    <w:p w14:paraId="1999788C" w14:textId="77777777" w:rsidR="00315B15" w:rsidRDefault="00315B15">
      <w:pPr>
        <w:rPr>
          <w:rFonts w:ascii="Arial" w:hAnsi="Arial" w:cs="Arial"/>
        </w:rPr>
      </w:pPr>
      <w:r>
        <w:rPr>
          <w:rFonts w:ascii="Arial" w:hAnsi="Arial" w:cs="Arial"/>
        </w:rPr>
        <w:br w:type="page"/>
      </w:r>
    </w:p>
    <w:p w14:paraId="0ECEEE50" w14:textId="5CE9E74C" w:rsidR="003B6FBF" w:rsidRPr="007220B7" w:rsidRDefault="003B6FBF" w:rsidP="001C3E92">
      <w:pPr>
        <w:ind w:left="720" w:right="1170"/>
        <w:rPr>
          <w:rFonts w:ascii="Arial" w:hAnsi="Arial" w:cs="Arial"/>
          <w:highlight w:val="yellow"/>
        </w:rPr>
      </w:pPr>
      <w:r>
        <w:rPr>
          <w:rFonts w:ascii="Arial" w:hAnsi="Arial" w:cs="Arial"/>
        </w:rPr>
        <w:lastRenderedPageBreak/>
        <w:t>Both Options 7A and 7B would require that the CSCN consider the optimum block size for assignment.</w:t>
      </w:r>
      <w:r>
        <w:rPr>
          <w:rStyle w:val="FootnoteReference"/>
          <w:rFonts w:ascii="Arial" w:hAnsi="Arial" w:cs="Arial"/>
        </w:rPr>
        <w:footnoteReference w:id="2"/>
      </w:r>
      <w:r>
        <w:rPr>
          <w:rFonts w:ascii="Arial" w:hAnsi="Arial" w:cs="Arial"/>
        </w:rPr>
        <w:t xml:space="preserve">  </w:t>
      </w:r>
      <w:r w:rsidRPr="000375BF">
        <w:rPr>
          <w:rFonts w:ascii="Arial" w:hAnsi="Arial" w:cs="Arial"/>
        </w:rPr>
        <w:t>Also, NRUFs</w:t>
      </w:r>
      <w:r w:rsidR="008B7ABC">
        <w:rPr>
          <w:rFonts w:ascii="Arial" w:hAnsi="Arial" w:cs="Arial"/>
        </w:rPr>
        <w:t xml:space="preserve"> </w:t>
      </w:r>
      <w:r w:rsidR="009276E5">
        <w:rPr>
          <w:rFonts w:ascii="Arial" w:hAnsi="Arial" w:cs="Arial"/>
        </w:rPr>
        <w:t>[Numbering Resource Utilization Forecasts]</w:t>
      </w:r>
      <w:r w:rsidRPr="000375BF">
        <w:rPr>
          <w:rFonts w:ascii="Arial" w:hAnsi="Arial" w:cs="Arial"/>
        </w:rPr>
        <w:t xml:space="preserve"> would have to be adjusted to accommodate the large volume of TNs that would become available. </w:t>
      </w:r>
    </w:p>
    <w:p w14:paraId="152350E9" w14:textId="76075F8A" w:rsidR="003B6FBF" w:rsidRPr="00EC0CA7" w:rsidRDefault="003B6FBF" w:rsidP="001C3E92">
      <w:pPr>
        <w:pStyle w:val="Heading1"/>
        <w:numPr>
          <w:ilvl w:val="2"/>
          <w:numId w:val="3"/>
        </w:numPr>
        <w:ind w:left="1440" w:right="1170"/>
        <w:rPr>
          <w:rFonts w:ascii="Arial" w:hAnsi="Arial"/>
          <w:color w:val="000000" w:themeColor="text1"/>
          <w:sz w:val="22"/>
          <w:szCs w:val="22"/>
        </w:rPr>
      </w:pPr>
      <w:bookmarkStart w:id="2" w:name="_Toc156387046"/>
      <w:bookmarkStart w:id="3" w:name="_Toc162946402"/>
      <w:r w:rsidRPr="00EC0CA7">
        <w:rPr>
          <w:rFonts w:ascii="Arial" w:hAnsi="Arial"/>
          <w:color w:val="000000" w:themeColor="text1"/>
          <w:sz w:val="22"/>
          <w:szCs w:val="22"/>
        </w:rPr>
        <w:t>Option 7A: Use 1+12-digit TNs in unused 6YY NPA</w:t>
      </w:r>
      <w:bookmarkEnd w:id="2"/>
      <w:bookmarkEnd w:id="3"/>
    </w:p>
    <w:p w14:paraId="06E3C3DA" w14:textId="77777777" w:rsidR="003B6FBF" w:rsidRPr="00EC0CA7" w:rsidRDefault="003B6FBF" w:rsidP="001C3E92">
      <w:pPr>
        <w:pStyle w:val="ListParagraph"/>
        <w:ind w:left="1376" w:right="1170"/>
        <w:rPr>
          <w:rFonts w:ascii="Arial" w:eastAsiaTheme="majorEastAsia" w:hAnsi="Arial" w:cstheme="majorBidi"/>
          <w:color w:val="000000" w:themeColor="text1"/>
        </w:rPr>
      </w:pPr>
    </w:p>
    <w:p w14:paraId="6ADD476D" w14:textId="77777777" w:rsidR="003B6FBF" w:rsidRPr="00EC0CA7" w:rsidRDefault="003B6FBF" w:rsidP="001C3E92">
      <w:pPr>
        <w:pStyle w:val="ListParagraph"/>
        <w:ind w:left="1376" w:right="1170"/>
        <w:rPr>
          <w:rFonts w:ascii="Arial" w:eastAsiaTheme="majorEastAsia" w:hAnsi="Arial" w:cstheme="majorBidi"/>
          <w:color w:val="000000" w:themeColor="text1"/>
        </w:rPr>
      </w:pPr>
      <w:r w:rsidRPr="00EC0CA7">
        <w:rPr>
          <w:rFonts w:ascii="Arial" w:eastAsiaTheme="majorEastAsia" w:hAnsi="Arial" w:cstheme="majorBidi"/>
          <w:color w:val="000000" w:themeColor="text1"/>
        </w:rPr>
        <w:t xml:space="preserve">Option 7A makes more TNs available in unused 6YY NPAs by expanding the number of digits from 1+10 to 1+12 (i.e., 1-688X-XNXX-XXXX.)  Option 7A uses the fourth digit excluding the Country Code (the D-digit) to identify an extended number format.  This option aligns with the 2002 NANPE plan. </w:t>
      </w:r>
    </w:p>
    <w:p w14:paraId="00F72F7B" w14:textId="77777777" w:rsidR="003D6EF6" w:rsidRPr="00EC0CA7" w:rsidRDefault="003D6EF6" w:rsidP="001C3E92">
      <w:pPr>
        <w:pStyle w:val="ListParagraph"/>
        <w:ind w:left="1376" w:right="1170"/>
        <w:rPr>
          <w:rFonts w:ascii="Arial" w:eastAsiaTheme="majorEastAsia" w:hAnsi="Arial" w:cstheme="majorBidi"/>
          <w:color w:val="000000" w:themeColor="text1"/>
        </w:rPr>
      </w:pPr>
    </w:p>
    <w:p w14:paraId="460A1A82" w14:textId="4DC76DA6" w:rsidR="003B6FBF" w:rsidRPr="00EC0CA7" w:rsidRDefault="003B6FBF" w:rsidP="001C3E92">
      <w:pPr>
        <w:pStyle w:val="ListParagraph"/>
        <w:ind w:left="1376" w:right="1170"/>
        <w:rPr>
          <w:rFonts w:ascii="Arial" w:eastAsiaTheme="majorEastAsia" w:hAnsi="Arial" w:cstheme="majorBidi"/>
          <w:color w:val="000000" w:themeColor="text1"/>
        </w:rPr>
      </w:pPr>
      <w:r w:rsidRPr="00EC0CA7">
        <w:rPr>
          <w:rFonts w:ascii="Arial" w:eastAsiaTheme="majorEastAsia" w:hAnsi="Arial" w:cstheme="majorBidi"/>
          <w:color w:val="000000" w:themeColor="text1"/>
        </w:rPr>
        <w:t>Option 7A would be implemented in two phases. Phase 1 would be applied only to unassigned NPAs (i.e</w:t>
      </w:r>
      <w:r w:rsidR="00A364A1">
        <w:rPr>
          <w:rFonts w:ascii="Arial" w:eastAsiaTheme="majorEastAsia" w:hAnsi="Arial" w:cstheme="majorBidi"/>
          <w:color w:val="000000" w:themeColor="text1"/>
        </w:rPr>
        <w:t>.</w:t>
      </w:r>
      <w:r w:rsidRPr="00EC0CA7">
        <w:rPr>
          <w:rFonts w:ascii="Arial" w:eastAsiaTheme="majorEastAsia" w:hAnsi="Arial" w:cstheme="majorBidi"/>
          <w:color w:val="000000" w:themeColor="text1"/>
        </w:rPr>
        <w:t>, 1-6880-XNXX-XXXX). The “0” in the D-digit (the fourth digit in a TN, excluding the Country Code) would allow for the ready detection of an expanded TN across any expanded-digit 6YY NPAs. Phase 1 would increase the number of phone numbers in an NPA by a factor of 10 (i.e., from 8,000,000 TNs to 80,000,000 TNs).</w:t>
      </w:r>
    </w:p>
    <w:p w14:paraId="650FD93F" w14:textId="77777777" w:rsidR="003D6EF6" w:rsidRPr="00EC0CA7" w:rsidRDefault="003D6EF6" w:rsidP="001C3E92">
      <w:pPr>
        <w:pStyle w:val="ListParagraph"/>
        <w:ind w:left="1376" w:right="1170"/>
        <w:rPr>
          <w:rFonts w:ascii="Arial" w:eastAsiaTheme="majorEastAsia" w:hAnsi="Arial" w:cstheme="majorBidi"/>
          <w:color w:val="000000" w:themeColor="text1"/>
        </w:rPr>
      </w:pPr>
    </w:p>
    <w:p w14:paraId="0CA7B516" w14:textId="77777777" w:rsidR="003B6FBF" w:rsidRPr="00EC0CA7" w:rsidRDefault="003B6FBF" w:rsidP="001C3E92">
      <w:pPr>
        <w:pStyle w:val="ListParagraph"/>
        <w:ind w:left="1376" w:right="1170"/>
        <w:rPr>
          <w:rFonts w:ascii="Arial" w:eastAsiaTheme="majorEastAsia" w:hAnsi="Arial" w:cstheme="majorBidi"/>
          <w:color w:val="000000" w:themeColor="text1"/>
        </w:rPr>
      </w:pPr>
      <w:r w:rsidRPr="00EC0CA7">
        <w:rPr>
          <w:rFonts w:ascii="Arial" w:eastAsiaTheme="majorEastAsia" w:hAnsi="Arial" w:cstheme="majorBidi"/>
          <w:color w:val="000000" w:themeColor="text1"/>
        </w:rPr>
        <w:t xml:space="preserve">Phase 2 would unlock the D-digit to be any number from 0 to 9. The resulting format would be 1-688X-XNXX-XXXX. This is, in effect, implementation of the NANPE solution and would increase the quantity of telephone numbers by a factor of 10 compared to Phase 1, or a factor of 100 (i.e. from 8,000,000 TNs to 800,000,000 TNs) compared to 1+10.  However, phase 2 can only be implemented after a 1+12-digit dialling plan has been implemented across all 6YY NPAs including assigned 6YY NPAs, thus implementation of phase 2 would entail extensive industry coordination and expense.  Since the NANPE solution could be changed upon the next industry review, it would be prudent to defer the implementation of phase 2 to avoid unnecessary expenditure of resources.  </w:t>
      </w:r>
    </w:p>
    <w:p w14:paraId="18DAC7E3" w14:textId="77777777" w:rsidR="003B6FBF" w:rsidRPr="00EC0CA7" w:rsidRDefault="003B6FBF" w:rsidP="001C3E92">
      <w:pPr>
        <w:pStyle w:val="Heading1"/>
        <w:numPr>
          <w:ilvl w:val="2"/>
          <w:numId w:val="3"/>
        </w:numPr>
        <w:ind w:left="1440" w:right="1170"/>
        <w:rPr>
          <w:rFonts w:ascii="Arial" w:hAnsi="Arial"/>
          <w:color w:val="000000" w:themeColor="text1"/>
          <w:sz w:val="22"/>
          <w:szCs w:val="22"/>
        </w:rPr>
      </w:pPr>
      <w:bookmarkStart w:id="4" w:name="_Toc153875012"/>
      <w:bookmarkStart w:id="5" w:name="_Toc153875014"/>
      <w:bookmarkStart w:id="6" w:name="_Toc153875015"/>
      <w:bookmarkStart w:id="7" w:name="_Hlk145067145"/>
      <w:bookmarkStart w:id="8" w:name="_Toc156387047"/>
      <w:bookmarkStart w:id="9" w:name="_Toc162946403"/>
      <w:bookmarkEnd w:id="4"/>
      <w:bookmarkEnd w:id="5"/>
      <w:bookmarkEnd w:id="6"/>
      <w:r w:rsidRPr="00EC0CA7">
        <w:rPr>
          <w:rFonts w:ascii="Arial" w:hAnsi="Arial"/>
          <w:color w:val="000000" w:themeColor="text1"/>
          <w:sz w:val="22"/>
          <w:szCs w:val="22"/>
        </w:rPr>
        <w:t xml:space="preserve">Option 7B:  Use 1+14-digit TNs in unused 6YY </w:t>
      </w:r>
      <w:bookmarkEnd w:id="7"/>
      <w:bookmarkEnd w:id="8"/>
      <w:r w:rsidRPr="00EC0CA7">
        <w:rPr>
          <w:rFonts w:ascii="Arial" w:hAnsi="Arial"/>
          <w:color w:val="000000" w:themeColor="text1"/>
          <w:sz w:val="22"/>
          <w:szCs w:val="22"/>
        </w:rPr>
        <w:t>NPAs</w:t>
      </w:r>
      <w:bookmarkEnd w:id="9"/>
      <w:r w:rsidRPr="00EC0CA7">
        <w:rPr>
          <w:rFonts w:ascii="Arial" w:hAnsi="Arial"/>
          <w:color w:val="000000" w:themeColor="text1"/>
          <w:sz w:val="22"/>
          <w:szCs w:val="22"/>
        </w:rPr>
        <w:br/>
      </w:r>
    </w:p>
    <w:p w14:paraId="1C332077" w14:textId="76C653BD" w:rsidR="003B6FBF" w:rsidRPr="00EC0CA7" w:rsidRDefault="003B6FBF" w:rsidP="001C3E92">
      <w:pPr>
        <w:pStyle w:val="ListParagraph"/>
        <w:ind w:left="1376" w:right="1170"/>
        <w:rPr>
          <w:rFonts w:ascii="Arial" w:eastAsiaTheme="majorEastAsia" w:hAnsi="Arial" w:cstheme="majorBidi"/>
          <w:color w:val="000000" w:themeColor="text1"/>
        </w:rPr>
      </w:pPr>
      <w:r w:rsidRPr="00EC0CA7">
        <w:rPr>
          <w:rFonts w:ascii="Arial" w:eastAsiaTheme="majorEastAsia" w:hAnsi="Arial" w:cstheme="majorBidi"/>
          <w:color w:val="000000" w:themeColor="text1"/>
        </w:rPr>
        <w:t xml:space="preserve">Option 7B makes more TNs available in unused 6YY NPAs by expanding the number of digits from 1+10 to 1+14 (i.e., 1-6YY-NXX-XXXX-XXXX).  This is compliant with ITU-T E.164 standard. This would increase the quantity of telephone numbers by a factor of </w:t>
      </w:r>
      <w:r w:rsidRPr="00EC0CA7">
        <w:rPr>
          <w:rFonts w:ascii="Arial" w:eastAsiaTheme="majorEastAsia" w:hAnsi="Arial" w:cstheme="majorBidi"/>
          <w:color w:val="000000" w:themeColor="text1"/>
        </w:rPr>
        <w:lastRenderedPageBreak/>
        <w:t xml:space="preserve">10,000, so each </w:t>
      </w:r>
      <w:proofErr w:type="gramStart"/>
      <w:r w:rsidRPr="00EC0CA7">
        <w:rPr>
          <w:rFonts w:ascii="Arial" w:eastAsiaTheme="majorEastAsia" w:hAnsi="Arial" w:cstheme="majorBidi"/>
          <w:color w:val="000000" w:themeColor="text1"/>
        </w:rPr>
        <w:t>1+14 digit</w:t>
      </w:r>
      <w:proofErr w:type="gramEnd"/>
      <w:r w:rsidRPr="00EC0CA7">
        <w:rPr>
          <w:rFonts w:ascii="Arial" w:eastAsiaTheme="majorEastAsia" w:hAnsi="Arial" w:cstheme="majorBidi"/>
          <w:color w:val="000000" w:themeColor="text1"/>
        </w:rPr>
        <w:t xml:space="preserve"> 6YY NPA would have about 80 billion TNs.</w:t>
      </w:r>
    </w:p>
    <w:p w14:paraId="401498A7" w14:textId="77777777" w:rsidR="00131224" w:rsidRPr="00EC0CA7" w:rsidRDefault="00131224" w:rsidP="001C3E92">
      <w:pPr>
        <w:pStyle w:val="ListParagraph"/>
        <w:ind w:left="1376" w:right="1170"/>
        <w:rPr>
          <w:rFonts w:ascii="Arial" w:eastAsiaTheme="majorEastAsia" w:hAnsi="Arial" w:cstheme="majorBidi"/>
          <w:color w:val="000000" w:themeColor="text1"/>
        </w:rPr>
      </w:pPr>
    </w:p>
    <w:p w14:paraId="70713644" w14:textId="31878314" w:rsidR="003B6FBF" w:rsidRPr="00EC0CA7" w:rsidRDefault="003B6FBF" w:rsidP="001C3E92">
      <w:pPr>
        <w:pStyle w:val="ListParagraph"/>
        <w:ind w:left="1376" w:right="1170"/>
        <w:rPr>
          <w:rFonts w:ascii="Arial" w:eastAsiaTheme="majorEastAsia" w:hAnsi="Arial" w:cstheme="majorBidi"/>
          <w:color w:val="000000" w:themeColor="text1"/>
        </w:rPr>
      </w:pPr>
      <w:r w:rsidRPr="00EC0CA7">
        <w:rPr>
          <w:rFonts w:ascii="Arial" w:eastAsiaTheme="majorEastAsia" w:hAnsi="Arial" w:cstheme="majorBidi"/>
          <w:color w:val="000000" w:themeColor="text1"/>
        </w:rPr>
        <w:t>Even more TNs can be made available by unlocking the D-digit so that it can be any value from 0 to 9 (i.e., 1-6YY-XXX-XXXX-XXXX).  This is compliant with ITU-T E.164 standard. This would increase the quantity of telephone numbers by an incremental 20 billion so each affected 6YY NPA would have about 100 billion TNs.</w:t>
      </w:r>
    </w:p>
    <w:p w14:paraId="5598AC4D" w14:textId="77777777" w:rsidR="00220A98" w:rsidRPr="00EC0CA7" w:rsidRDefault="00220A98" w:rsidP="00D641E6">
      <w:pPr>
        <w:pStyle w:val="ListParagraph"/>
        <w:ind w:left="1376"/>
        <w:rPr>
          <w:rFonts w:ascii="Arial" w:eastAsiaTheme="majorEastAsia" w:hAnsi="Arial" w:cstheme="majorBidi"/>
          <w:color w:val="000000" w:themeColor="text1"/>
          <w:sz w:val="24"/>
          <w:szCs w:val="24"/>
        </w:rPr>
      </w:pPr>
    </w:p>
    <w:p w14:paraId="7813B0FB" w14:textId="105A2883" w:rsidR="002F222F" w:rsidRDefault="002F222F" w:rsidP="002F222F">
      <w:pPr>
        <w:rPr>
          <w:rFonts w:ascii="Arial" w:hAnsi="Arial" w:cs="Arial"/>
        </w:rPr>
      </w:pPr>
      <w:r>
        <w:rPr>
          <w:rFonts w:ascii="Arial" w:hAnsi="Arial" w:cs="Arial"/>
        </w:rPr>
        <w:t xml:space="preserve">Unfortunately, the CSCN was unable to reach consensus about the 1+12 or 1+14 </w:t>
      </w:r>
      <w:r w:rsidR="00225E53">
        <w:rPr>
          <w:rFonts w:ascii="Arial" w:hAnsi="Arial" w:cs="Arial"/>
        </w:rPr>
        <w:t xml:space="preserve">expansion </w:t>
      </w:r>
      <w:r>
        <w:rPr>
          <w:rFonts w:ascii="Arial" w:hAnsi="Arial" w:cs="Arial"/>
        </w:rPr>
        <w:t>options, with at least one carrier suggesting that a two-phase approach is not cost effective</w:t>
      </w:r>
      <w:r w:rsidR="00825BA5">
        <w:rPr>
          <w:rFonts w:ascii="Arial" w:hAnsi="Arial" w:cs="Arial"/>
        </w:rPr>
        <w:t>,</w:t>
      </w:r>
      <w:r>
        <w:rPr>
          <w:rFonts w:ascii="Arial" w:hAnsi="Arial" w:cs="Arial"/>
        </w:rPr>
        <w:t xml:space="preserve"> and a </w:t>
      </w:r>
      <w:r w:rsidR="00DB02E1">
        <w:rPr>
          <w:rFonts w:ascii="Arial" w:hAnsi="Arial" w:cs="Arial"/>
        </w:rPr>
        <w:t>single-phase</w:t>
      </w:r>
      <w:r>
        <w:rPr>
          <w:rFonts w:ascii="Arial" w:hAnsi="Arial" w:cs="Arial"/>
        </w:rPr>
        <w:t xml:space="preserve"> approach would be preferable (i.e., change to 1+14</w:t>
      </w:r>
      <w:r w:rsidR="009650B6">
        <w:rPr>
          <w:rFonts w:ascii="Arial" w:hAnsi="Arial" w:cs="Arial"/>
        </w:rPr>
        <w:t xml:space="preserve"> without an interim phase</w:t>
      </w:r>
      <w:r>
        <w:rPr>
          <w:rFonts w:ascii="Arial" w:hAnsi="Arial" w:cs="Arial"/>
        </w:rPr>
        <w:t>).</w:t>
      </w:r>
      <w:r w:rsidR="008F1BD0">
        <w:rPr>
          <w:rFonts w:ascii="Arial" w:hAnsi="Arial" w:cs="Arial"/>
        </w:rPr>
        <w:t xml:space="preserve">  </w:t>
      </w:r>
      <w:r w:rsidR="006808E4">
        <w:rPr>
          <w:rFonts w:ascii="Arial" w:hAnsi="Arial" w:cs="Arial"/>
        </w:rPr>
        <w:t>As such</w:t>
      </w:r>
      <w:r w:rsidR="00705DAE">
        <w:rPr>
          <w:rFonts w:ascii="Arial" w:hAnsi="Arial" w:cs="Arial"/>
        </w:rPr>
        <w:t>,</w:t>
      </w:r>
      <w:r w:rsidR="006808E4">
        <w:rPr>
          <w:rFonts w:ascii="Arial" w:hAnsi="Arial" w:cs="Arial"/>
        </w:rPr>
        <w:t xml:space="preserve"> the CSCN submitted </w:t>
      </w:r>
      <w:r w:rsidR="00705DAE">
        <w:rPr>
          <w:rFonts w:ascii="Arial" w:hAnsi="Arial" w:cs="Arial"/>
        </w:rPr>
        <w:t xml:space="preserve">its </w:t>
      </w:r>
      <w:r w:rsidR="0012715C">
        <w:rPr>
          <w:rFonts w:ascii="Arial" w:hAnsi="Arial" w:cs="Arial"/>
        </w:rPr>
        <w:t>preliminary</w:t>
      </w:r>
      <w:r w:rsidR="00705DAE">
        <w:rPr>
          <w:rFonts w:ascii="Arial" w:hAnsi="Arial" w:cs="Arial"/>
        </w:rPr>
        <w:t xml:space="preserve"> report on </w:t>
      </w:r>
      <w:r w:rsidR="0012715C">
        <w:rPr>
          <w:rFonts w:ascii="Arial" w:hAnsi="Arial" w:cs="Arial"/>
        </w:rPr>
        <w:t xml:space="preserve">2 April 2024 to </w:t>
      </w:r>
      <w:r w:rsidR="006808E4">
        <w:rPr>
          <w:rFonts w:ascii="Arial" w:hAnsi="Arial" w:cs="Arial"/>
        </w:rPr>
        <w:t xml:space="preserve">the CRTC </w:t>
      </w:r>
      <w:r w:rsidR="0012715C">
        <w:rPr>
          <w:rFonts w:ascii="Arial" w:hAnsi="Arial" w:cs="Arial"/>
        </w:rPr>
        <w:t xml:space="preserve">recommending several </w:t>
      </w:r>
      <w:r w:rsidR="00705DAE" w:rsidRPr="00705DAE">
        <w:rPr>
          <w:rFonts w:ascii="Arial" w:hAnsi="Arial" w:cs="Arial"/>
        </w:rPr>
        <w:t>partial solutions</w:t>
      </w:r>
      <w:r w:rsidR="0012715C">
        <w:rPr>
          <w:rFonts w:ascii="Arial" w:hAnsi="Arial" w:cs="Arial"/>
        </w:rPr>
        <w:t xml:space="preserve">, while it further considered the full solution </w:t>
      </w:r>
      <w:proofErr w:type="gramStart"/>
      <w:r w:rsidR="0012715C">
        <w:rPr>
          <w:rFonts w:ascii="Arial" w:hAnsi="Arial" w:cs="Arial"/>
        </w:rPr>
        <w:t>in an effort to</w:t>
      </w:r>
      <w:proofErr w:type="gramEnd"/>
      <w:r w:rsidR="00921BDD">
        <w:rPr>
          <w:rFonts w:ascii="Arial" w:hAnsi="Arial" w:cs="Arial"/>
        </w:rPr>
        <w:t xml:space="preserve"> reach consensus. </w:t>
      </w:r>
      <w:r w:rsidR="0012715C">
        <w:rPr>
          <w:rFonts w:ascii="Arial" w:hAnsi="Arial" w:cs="Arial"/>
        </w:rPr>
        <w:t xml:space="preserve"> </w:t>
      </w:r>
    </w:p>
    <w:p w14:paraId="31FFF24B" w14:textId="53135284" w:rsidR="006D63ED" w:rsidRDefault="00AF075B" w:rsidP="002C2E0A">
      <w:pPr>
        <w:rPr>
          <w:rFonts w:ascii="Arial" w:hAnsi="Arial" w:cs="Arial"/>
        </w:rPr>
      </w:pPr>
      <w:r>
        <w:rPr>
          <w:rFonts w:ascii="Arial" w:hAnsi="Arial" w:cs="Arial"/>
        </w:rPr>
        <w:t xml:space="preserve">On </w:t>
      </w:r>
      <w:r w:rsidR="00BA5E6C">
        <w:rPr>
          <w:rFonts w:ascii="Arial" w:hAnsi="Arial" w:cs="Arial"/>
        </w:rPr>
        <w:t>30 November 2024, the CN</w:t>
      </w:r>
      <w:r w:rsidR="000C3051">
        <w:rPr>
          <w:rFonts w:ascii="Arial" w:hAnsi="Arial" w:cs="Arial"/>
        </w:rPr>
        <w:t>A</w:t>
      </w:r>
      <w:r w:rsidR="00BA5E6C">
        <w:rPr>
          <w:rFonts w:ascii="Arial" w:hAnsi="Arial" w:cs="Arial"/>
        </w:rPr>
        <w:t xml:space="preserve"> sent out an email message to Canadian carriers with the following content:</w:t>
      </w:r>
    </w:p>
    <w:p w14:paraId="5D07905B" w14:textId="5D66A45F" w:rsidR="00BA5E6C" w:rsidRDefault="00BA5E6C" w:rsidP="00537E52">
      <w:pPr>
        <w:ind w:left="720"/>
        <w:rPr>
          <w:rFonts w:ascii="Arial" w:hAnsi="Arial" w:cs="Arial"/>
          <w:lang w:val="en-US"/>
        </w:rPr>
      </w:pPr>
      <w:r w:rsidRPr="00BA5E6C">
        <w:rPr>
          <w:rFonts w:ascii="Arial" w:hAnsi="Arial" w:cs="Arial"/>
          <w:lang w:val="en-US"/>
        </w:rPr>
        <w:t>In CSCN TIF Report</w:t>
      </w:r>
      <w:r>
        <w:rPr>
          <w:rFonts w:ascii="Arial" w:hAnsi="Arial" w:cs="Arial"/>
          <w:lang w:val="en-US"/>
        </w:rPr>
        <w:t xml:space="preserve"> CNRE138B</w:t>
      </w:r>
      <w:r w:rsidRPr="00BA5E6C">
        <w:rPr>
          <w:rFonts w:ascii="Arial" w:hAnsi="Arial" w:cs="Arial"/>
          <w:lang w:val="en-US"/>
        </w:rPr>
        <w:t xml:space="preserve">, </w:t>
      </w:r>
      <w:proofErr w:type="gramStart"/>
      <w:r w:rsidRPr="00BA5E6C">
        <w:rPr>
          <w:rFonts w:ascii="Arial" w:hAnsi="Arial" w:cs="Arial"/>
          <w:lang w:val="en-US"/>
        </w:rPr>
        <w:t>the CSCN</w:t>
      </w:r>
      <w:proofErr w:type="gramEnd"/>
      <w:r w:rsidRPr="00BA5E6C">
        <w:rPr>
          <w:rFonts w:ascii="Arial" w:hAnsi="Arial" w:cs="Arial"/>
          <w:lang w:val="en-US"/>
        </w:rPr>
        <w:t xml:space="preserve"> agreed that future </w:t>
      </w:r>
      <w:proofErr w:type="gramStart"/>
      <w:r w:rsidRPr="00BA5E6C">
        <w:rPr>
          <w:rFonts w:ascii="Arial" w:hAnsi="Arial" w:cs="Arial"/>
          <w:lang w:val="en-US"/>
        </w:rPr>
        <w:t>Non-Geographic NPAs</w:t>
      </w:r>
      <w:proofErr w:type="gramEnd"/>
      <w:r w:rsidRPr="00BA5E6C">
        <w:rPr>
          <w:rFonts w:ascii="Arial" w:hAnsi="Arial" w:cs="Arial"/>
          <w:lang w:val="en-US"/>
        </w:rPr>
        <w:t xml:space="preserve"> 677 and 688 would be set aside as extended digit format NPAs but wanted to define the extended digit format in a subsequent report. In </w:t>
      </w:r>
      <w:r>
        <w:rPr>
          <w:rFonts w:ascii="Arial" w:hAnsi="Arial" w:cs="Arial"/>
          <w:lang w:val="en-US"/>
        </w:rPr>
        <w:t xml:space="preserve">a </w:t>
      </w:r>
      <w:r w:rsidRPr="00BA5E6C">
        <w:rPr>
          <w:rFonts w:ascii="Arial" w:hAnsi="Arial" w:cs="Arial"/>
          <w:lang w:val="en-US"/>
        </w:rPr>
        <w:t>recent contribution</w:t>
      </w:r>
      <w:r>
        <w:rPr>
          <w:rFonts w:ascii="Arial" w:hAnsi="Arial" w:cs="Arial"/>
          <w:lang w:val="en-US"/>
        </w:rPr>
        <w:t xml:space="preserve"> CNC</w:t>
      </w:r>
      <w:r w:rsidR="00EA27B2">
        <w:rPr>
          <w:rFonts w:ascii="Arial" w:hAnsi="Arial" w:cs="Arial"/>
          <w:lang w:val="en-US"/>
        </w:rPr>
        <w:t>O</w:t>
      </w:r>
      <w:r w:rsidR="003334F2">
        <w:rPr>
          <w:rFonts w:ascii="Arial" w:hAnsi="Arial" w:cs="Arial"/>
          <w:lang w:val="en-US"/>
        </w:rPr>
        <w:t>272A</w:t>
      </w:r>
      <w:r w:rsidRPr="00BA5E6C">
        <w:rPr>
          <w:rFonts w:ascii="Arial" w:hAnsi="Arial" w:cs="Arial"/>
          <w:lang w:val="en-US"/>
        </w:rPr>
        <w:t>, it was proposed that the extended digit format to be used should be 1+14-digits and use 1 or 0 in the D-digit (first digit after 6YY) to indicate that the incoming number will be 1+14-digits.</w:t>
      </w:r>
    </w:p>
    <w:p w14:paraId="1D0AA14C" w14:textId="12CBF73E" w:rsidR="000A5061" w:rsidRPr="00BA5E6C" w:rsidRDefault="000A5061" w:rsidP="00537E52">
      <w:pPr>
        <w:ind w:left="720"/>
        <w:rPr>
          <w:rFonts w:ascii="Arial" w:hAnsi="Arial" w:cs="Arial"/>
        </w:rPr>
      </w:pPr>
      <w:r w:rsidRPr="000A5061">
        <w:rPr>
          <w:rFonts w:ascii="Arial" w:hAnsi="Arial" w:cs="Arial"/>
        </w:rPr>
        <w:t>A report making the final recommendation on the extended digit format is due very soon and so carriers are</w:t>
      </w:r>
      <w:r w:rsidRPr="000A5061">
        <w:rPr>
          <w:rFonts w:ascii="Arial" w:hAnsi="Arial" w:cs="Arial"/>
          <w:b/>
          <w:bCs/>
        </w:rPr>
        <w:t xml:space="preserve"> </w:t>
      </w:r>
      <w:r w:rsidRPr="000A5061">
        <w:rPr>
          <w:rFonts w:ascii="Arial" w:hAnsi="Arial" w:cs="Arial"/>
        </w:rPr>
        <w:t xml:space="preserve">to report back to the </w:t>
      </w:r>
      <w:hyperlink r:id="rId13" w:tgtFrame="_blank" w:tooltip="mailto:secretary-cscn@cnac.ca" w:history="1">
        <w:r w:rsidRPr="000A5061">
          <w:rPr>
            <w:rStyle w:val="Hyperlink"/>
            <w:rFonts w:ascii="Arial" w:hAnsi="Arial" w:cs="Arial"/>
          </w:rPr>
          <w:t>Secretary-CSCN@cnac.ca</w:t>
        </w:r>
      </w:hyperlink>
      <w:r w:rsidRPr="000A5061">
        <w:rPr>
          <w:rFonts w:ascii="Arial" w:hAnsi="Arial" w:cs="Arial"/>
        </w:rPr>
        <w:t xml:space="preserve"> by </w:t>
      </w:r>
      <w:r w:rsidRPr="000A5061">
        <w:rPr>
          <w:rFonts w:ascii="Arial" w:hAnsi="Arial" w:cs="Arial"/>
          <w:b/>
          <w:bCs/>
        </w:rPr>
        <w:t>27 November 2024</w:t>
      </w:r>
      <w:r w:rsidRPr="000A5061">
        <w:rPr>
          <w:rFonts w:ascii="Arial" w:hAnsi="Arial" w:cs="Arial"/>
        </w:rPr>
        <w:t xml:space="preserve"> if their organization has any objections to this 1+14 with D-digit approach.</w:t>
      </w:r>
    </w:p>
    <w:p w14:paraId="521416AC" w14:textId="6B642609" w:rsidR="00BA5E6C" w:rsidRDefault="00DF6FFC" w:rsidP="002C2E0A">
      <w:pPr>
        <w:rPr>
          <w:rFonts w:ascii="Arial" w:hAnsi="Arial" w:cs="Arial"/>
        </w:rPr>
      </w:pPr>
      <w:r>
        <w:rPr>
          <w:rFonts w:ascii="Arial" w:hAnsi="Arial" w:cs="Arial"/>
          <w:lang w:val="en-US"/>
        </w:rPr>
        <w:t xml:space="preserve">The CNA did not receive </w:t>
      </w:r>
      <w:r w:rsidR="0062188D">
        <w:rPr>
          <w:rFonts w:ascii="Arial" w:hAnsi="Arial" w:cs="Arial"/>
          <w:lang w:val="en-US"/>
        </w:rPr>
        <w:t>a</w:t>
      </w:r>
      <w:r w:rsidR="00052B62">
        <w:rPr>
          <w:rFonts w:ascii="Arial" w:hAnsi="Arial" w:cs="Arial"/>
          <w:lang w:val="en-US"/>
        </w:rPr>
        <w:t xml:space="preserve"> definitive response</w:t>
      </w:r>
      <w:r w:rsidR="007D3863">
        <w:rPr>
          <w:rFonts w:ascii="Arial" w:hAnsi="Arial" w:cs="Arial"/>
          <w:lang w:val="en-US"/>
        </w:rPr>
        <w:t xml:space="preserve"> by the due </w:t>
      </w:r>
      <w:r w:rsidR="003D44B3">
        <w:rPr>
          <w:rFonts w:ascii="Arial" w:hAnsi="Arial" w:cs="Arial"/>
          <w:lang w:val="en-US"/>
        </w:rPr>
        <w:t>date</w:t>
      </w:r>
      <w:r w:rsidR="00052B62">
        <w:rPr>
          <w:rFonts w:ascii="Arial" w:hAnsi="Arial" w:cs="Arial"/>
          <w:lang w:val="en-US"/>
        </w:rPr>
        <w:t>.</w:t>
      </w:r>
      <w:r w:rsidR="008E3863">
        <w:rPr>
          <w:rFonts w:ascii="Arial" w:hAnsi="Arial" w:cs="Arial"/>
          <w:lang w:val="en-US"/>
        </w:rPr>
        <w:t xml:space="preserve"> </w:t>
      </w:r>
      <w:r w:rsidR="00EB1E46">
        <w:rPr>
          <w:rFonts w:ascii="Arial" w:hAnsi="Arial" w:cs="Arial"/>
        </w:rPr>
        <w:t>O</w:t>
      </w:r>
      <w:r w:rsidR="00CC797C" w:rsidRPr="00CC797C">
        <w:rPr>
          <w:rFonts w:ascii="Arial" w:hAnsi="Arial" w:cs="Arial"/>
        </w:rPr>
        <w:t xml:space="preserve">ver the past few months, </w:t>
      </w:r>
      <w:r w:rsidR="001B65A5">
        <w:rPr>
          <w:rFonts w:ascii="Arial" w:hAnsi="Arial" w:cs="Arial"/>
        </w:rPr>
        <w:t xml:space="preserve">the </w:t>
      </w:r>
      <w:r w:rsidR="00CC797C" w:rsidRPr="00CC797C">
        <w:rPr>
          <w:rFonts w:ascii="Arial" w:hAnsi="Arial" w:cs="Arial"/>
        </w:rPr>
        <w:t>CSCN</w:t>
      </w:r>
      <w:r w:rsidR="00071B35">
        <w:rPr>
          <w:rFonts w:ascii="Arial" w:hAnsi="Arial" w:cs="Arial"/>
        </w:rPr>
        <w:t xml:space="preserve"> has </w:t>
      </w:r>
      <w:r w:rsidR="00CC797C" w:rsidRPr="00CC797C">
        <w:rPr>
          <w:rFonts w:ascii="Arial" w:hAnsi="Arial" w:cs="Arial"/>
        </w:rPr>
        <w:t xml:space="preserve">carefully considered </w:t>
      </w:r>
      <w:r w:rsidR="00CC797C">
        <w:rPr>
          <w:rFonts w:ascii="Arial" w:hAnsi="Arial" w:cs="Arial"/>
        </w:rPr>
        <w:t xml:space="preserve">these </w:t>
      </w:r>
      <w:r w:rsidR="00CC797C" w:rsidRPr="00CC797C">
        <w:rPr>
          <w:rFonts w:ascii="Arial" w:hAnsi="Arial" w:cs="Arial"/>
        </w:rPr>
        <w:t>two options</w:t>
      </w:r>
      <w:r w:rsidR="005D6333">
        <w:rPr>
          <w:rFonts w:ascii="Arial" w:hAnsi="Arial" w:cs="Arial"/>
        </w:rPr>
        <w:t xml:space="preserve">, reviewing the pros and cons of each, </w:t>
      </w:r>
      <w:r w:rsidR="00CC797C" w:rsidRPr="00CC797C">
        <w:rPr>
          <w:rFonts w:ascii="Arial" w:hAnsi="Arial" w:cs="Arial"/>
        </w:rPr>
        <w:t xml:space="preserve">and </w:t>
      </w:r>
      <w:r w:rsidR="005D6333">
        <w:rPr>
          <w:rFonts w:ascii="Arial" w:hAnsi="Arial" w:cs="Arial"/>
        </w:rPr>
        <w:t>have</w:t>
      </w:r>
      <w:r w:rsidR="00CC797C">
        <w:rPr>
          <w:rFonts w:ascii="Arial" w:hAnsi="Arial" w:cs="Arial"/>
        </w:rPr>
        <w:t xml:space="preserve"> </w:t>
      </w:r>
      <w:r w:rsidR="00CC797C" w:rsidRPr="00CC797C">
        <w:rPr>
          <w:rFonts w:ascii="Arial" w:hAnsi="Arial" w:cs="Arial"/>
        </w:rPr>
        <w:t>reached a consensus. The rationale and key considerations behind this decision are detailed below.</w:t>
      </w:r>
    </w:p>
    <w:p w14:paraId="28F8BE05" w14:textId="44E4E750" w:rsidR="00A360BE" w:rsidRDefault="00A360BE" w:rsidP="00A360BE">
      <w:pPr>
        <w:pStyle w:val="Heading1"/>
        <w:numPr>
          <w:ilvl w:val="0"/>
          <w:numId w:val="9"/>
        </w:numPr>
        <w:ind w:left="720" w:hanging="720"/>
        <w:rPr>
          <w:rFonts w:ascii="Arial" w:hAnsi="Arial"/>
          <w:sz w:val="24"/>
          <w:szCs w:val="24"/>
        </w:rPr>
      </w:pPr>
      <w:r>
        <w:rPr>
          <w:rFonts w:ascii="Arial" w:hAnsi="Arial"/>
          <w:sz w:val="24"/>
          <w:szCs w:val="24"/>
        </w:rPr>
        <w:t>Considerations</w:t>
      </w:r>
    </w:p>
    <w:p w14:paraId="3FFF6A24" w14:textId="77777777" w:rsidR="00EE1A0E" w:rsidRPr="00223B7E" w:rsidRDefault="00EE1A0E" w:rsidP="00D46071"/>
    <w:p w14:paraId="7B97BD13" w14:textId="64D614B5" w:rsidR="005429BF" w:rsidRDefault="005429BF" w:rsidP="002C2E0A">
      <w:pPr>
        <w:rPr>
          <w:rFonts w:ascii="Arial" w:hAnsi="Arial" w:cs="Arial"/>
        </w:rPr>
      </w:pPr>
      <w:r>
        <w:rPr>
          <w:rFonts w:ascii="Arial" w:hAnsi="Arial" w:cs="Arial"/>
        </w:rPr>
        <w:t xml:space="preserve">The following options have been identified by the CSCN </w:t>
      </w:r>
      <w:r w:rsidR="001B1EEE">
        <w:rPr>
          <w:rFonts w:ascii="Arial" w:hAnsi="Arial" w:cs="Arial"/>
        </w:rPr>
        <w:t>for consideration:</w:t>
      </w:r>
    </w:p>
    <w:p w14:paraId="5D6F4E29" w14:textId="77777777" w:rsidR="00223B7E" w:rsidRPr="002634BA" w:rsidRDefault="00223B7E" w:rsidP="002C2E0A">
      <w:pPr>
        <w:rPr>
          <w:rFonts w:ascii="Arial" w:hAnsi="Arial" w:cs="Arial"/>
        </w:rPr>
      </w:pPr>
    </w:p>
    <w:p w14:paraId="722C11B2" w14:textId="2CA934C8" w:rsidR="000B4BB3" w:rsidRPr="002634BA" w:rsidRDefault="000B4BB3" w:rsidP="002C2E0A">
      <w:pPr>
        <w:rPr>
          <w:rFonts w:ascii="Arial" w:hAnsi="Arial" w:cs="Arial"/>
          <w:u w:val="single"/>
        </w:rPr>
      </w:pPr>
      <w:r w:rsidRPr="002634BA">
        <w:rPr>
          <w:rFonts w:ascii="Arial" w:hAnsi="Arial" w:cs="Arial"/>
          <w:u w:val="single"/>
        </w:rPr>
        <w:t>1+12 digit</w:t>
      </w:r>
    </w:p>
    <w:p w14:paraId="2FEC80A9" w14:textId="6764316A" w:rsidR="000B4BB3" w:rsidRDefault="003B63E3" w:rsidP="002C2E0A">
      <w:pPr>
        <w:rPr>
          <w:rFonts w:ascii="Arial" w:hAnsi="Arial" w:cs="Arial"/>
        </w:rPr>
      </w:pPr>
      <w:r>
        <w:rPr>
          <w:rFonts w:ascii="Arial" w:hAnsi="Arial" w:cs="Arial"/>
        </w:rPr>
        <w:t xml:space="preserve">A </w:t>
      </w:r>
      <w:r w:rsidR="004D5FBF">
        <w:rPr>
          <w:rFonts w:ascii="Arial" w:hAnsi="Arial" w:cs="Arial"/>
        </w:rPr>
        <w:t xml:space="preserve">1+12-digit number would be 1+ABC-DEF-GHIJKL where digits ABC </w:t>
      </w:r>
      <w:r w:rsidR="00844E24">
        <w:rPr>
          <w:rFonts w:ascii="Arial" w:hAnsi="Arial" w:cs="Arial"/>
        </w:rPr>
        <w:t xml:space="preserve">represent the NPA. </w:t>
      </w:r>
    </w:p>
    <w:p w14:paraId="6E39978B" w14:textId="0877C1FA" w:rsidR="000B4BB3" w:rsidRPr="002634BA" w:rsidRDefault="000B4BB3" w:rsidP="002C2E0A">
      <w:pPr>
        <w:rPr>
          <w:rFonts w:ascii="Arial" w:hAnsi="Arial" w:cs="Arial"/>
          <w:u w:val="single"/>
        </w:rPr>
      </w:pPr>
      <w:r w:rsidRPr="002634BA">
        <w:rPr>
          <w:rFonts w:ascii="Arial" w:hAnsi="Arial" w:cs="Arial"/>
          <w:u w:val="single"/>
        </w:rPr>
        <w:t>1+14-digit</w:t>
      </w:r>
    </w:p>
    <w:p w14:paraId="2D009D5F" w14:textId="4170306F" w:rsidR="00591299" w:rsidRDefault="00591299" w:rsidP="00591299">
      <w:pPr>
        <w:rPr>
          <w:rFonts w:ascii="Arial" w:hAnsi="Arial" w:cs="Arial"/>
        </w:rPr>
      </w:pPr>
      <w:r>
        <w:rPr>
          <w:rFonts w:ascii="Arial" w:hAnsi="Arial" w:cs="Arial"/>
        </w:rPr>
        <w:t>A 1+1</w:t>
      </w:r>
      <w:r w:rsidR="00AC5B15">
        <w:rPr>
          <w:rFonts w:ascii="Arial" w:hAnsi="Arial" w:cs="Arial"/>
        </w:rPr>
        <w:t>4</w:t>
      </w:r>
      <w:r>
        <w:rPr>
          <w:rFonts w:ascii="Arial" w:hAnsi="Arial" w:cs="Arial"/>
        </w:rPr>
        <w:t>-digit number would be 1+ABC-DEF-GHIJ</w:t>
      </w:r>
      <w:r w:rsidR="003928DF">
        <w:rPr>
          <w:rFonts w:ascii="Arial" w:hAnsi="Arial" w:cs="Arial"/>
        </w:rPr>
        <w:t>-</w:t>
      </w:r>
      <w:r>
        <w:rPr>
          <w:rFonts w:ascii="Arial" w:hAnsi="Arial" w:cs="Arial"/>
        </w:rPr>
        <w:t>KL</w:t>
      </w:r>
      <w:r w:rsidR="003928DF">
        <w:rPr>
          <w:rFonts w:ascii="Arial" w:hAnsi="Arial" w:cs="Arial"/>
        </w:rPr>
        <w:t>MN</w:t>
      </w:r>
      <w:r>
        <w:rPr>
          <w:rFonts w:ascii="Arial" w:hAnsi="Arial" w:cs="Arial"/>
        </w:rPr>
        <w:t xml:space="preserve"> where digits ABC represent the NPA. </w:t>
      </w:r>
    </w:p>
    <w:p w14:paraId="587756E4" w14:textId="77777777" w:rsidR="00C329D4" w:rsidRPr="00C15734" w:rsidRDefault="00C329D4" w:rsidP="00C329D4">
      <w:pPr>
        <w:rPr>
          <w:rFonts w:ascii="Arial" w:hAnsi="Arial" w:cs="Arial"/>
          <w:u w:val="single"/>
          <w:lang w:val="en-US"/>
        </w:rPr>
      </w:pPr>
      <w:r w:rsidRPr="00C15734">
        <w:rPr>
          <w:rFonts w:ascii="Arial" w:hAnsi="Arial" w:cs="Arial"/>
          <w:u w:val="single"/>
          <w:lang w:val="en-US"/>
        </w:rPr>
        <w:lastRenderedPageBreak/>
        <w:t>NXX format vs XXX format</w:t>
      </w:r>
    </w:p>
    <w:p w14:paraId="754D4AD5" w14:textId="0F0526AA" w:rsidR="00C329D4" w:rsidRDefault="00C329D4" w:rsidP="00C329D4">
      <w:pPr>
        <w:rPr>
          <w:rFonts w:ascii="Arial" w:hAnsi="Arial" w:cs="Arial"/>
          <w:lang w:val="en-US"/>
        </w:rPr>
      </w:pPr>
      <w:r>
        <w:rPr>
          <w:rFonts w:ascii="Arial" w:hAnsi="Arial" w:cs="Arial"/>
          <w:lang w:val="en-US"/>
        </w:rPr>
        <w:t xml:space="preserve">An extended digit number using the NXX format </w:t>
      </w:r>
      <w:r>
        <w:rPr>
          <w:rFonts w:ascii="Arial" w:hAnsi="Arial" w:cs="Arial"/>
        </w:rPr>
        <w:t>(where N is between 2 and 9 and X is any number from 0 to 9) would create 800 blocks in an NPA. Using the XXX format would create 1,000 blocks in an NPA. If using the D-digit indicator in conjunction with the NXX format, the blocks from 000 through199 (which are outside the conventional NXX blocks of 200 through 999) would create 200 extended format blocks.</w:t>
      </w:r>
    </w:p>
    <w:p w14:paraId="702DD663" w14:textId="33B0AFCC" w:rsidR="000B4BB3" w:rsidRPr="002634BA" w:rsidRDefault="000B4BB3" w:rsidP="002C2E0A">
      <w:pPr>
        <w:rPr>
          <w:rFonts w:ascii="Arial" w:hAnsi="Arial" w:cs="Arial"/>
          <w:u w:val="single"/>
        </w:rPr>
      </w:pPr>
      <w:r w:rsidRPr="002634BA">
        <w:rPr>
          <w:rFonts w:ascii="Arial" w:hAnsi="Arial" w:cs="Arial"/>
          <w:u w:val="single"/>
        </w:rPr>
        <w:t>D-digit indicator</w:t>
      </w:r>
    </w:p>
    <w:p w14:paraId="47A49D2E" w14:textId="2067F946" w:rsidR="000B4BB3" w:rsidRDefault="00AC5B15" w:rsidP="002C2E0A">
      <w:pPr>
        <w:rPr>
          <w:rFonts w:ascii="Arial" w:hAnsi="Arial" w:cs="Arial"/>
        </w:rPr>
      </w:pPr>
      <w:r>
        <w:rPr>
          <w:rFonts w:ascii="Arial" w:hAnsi="Arial" w:cs="Arial"/>
        </w:rPr>
        <w:t xml:space="preserve">A D-digit indicator of 0 or 1 </w:t>
      </w:r>
      <w:r w:rsidR="00C06A76">
        <w:rPr>
          <w:rFonts w:ascii="Arial" w:hAnsi="Arial" w:cs="Arial"/>
        </w:rPr>
        <w:t xml:space="preserve">could be used in </w:t>
      </w:r>
      <w:proofErr w:type="gramStart"/>
      <w:r w:rsidR="00C06A76">
        <w:rPr>
          <w:rFonts w:ascii="Arial" w:hAnsi="Arial" w:cs="Arial"/>
        </w:rPr>
        <w:t>both of the 1+12-</w:t>
      </w:r>
      <w:r w:rsidR="00593E54">
        <w:rPr>
          <w:rFonts w:ascii="Arial" w:hAnsi="Arial" w:cs="Arial"/>
        </w:rPr>
        <w:t>digit</w:t>
      </w:r>
      <w:proofErr w:type="gramEnd"/>
      <w:r w:rsidR="00C06A76">
        <w:rPr>
          <w:rFonts w:ascii="Arial" w:hAnsi="Arial" w:cs="Arial"/>
        </w:rPr>
        <w:t xml:space="preserve"> and 1+14-digit implementations. </w:t>
      </w:r>
      <w:r w:rsidR="003E50EF">
        <w:rPr>
          <w:rFonts w:ascii="Arial" w:hAnsi="Arial" w:cs="Arial"/>
        </w:rPr>
        <w:t>A 0 or 1 w</w:t>
      </w:r>
      <w:r>
        <w:rPr>
          <w:rFonts w:ascii="Arial" w:hAnsi="Arial" w:cs="Arial"/>
        </w:rPr>
        <w:t xml:space="preserve">ould be used to </w:t>
      </w:r>
      <w:r w:rsidR="00C77FCA">
        <w:rPr>
          <w:rFonts w:ascii="Arial" w:hAnsi="Arial" w:cs="Arial"/>
        </w:rPr>
        <w:t>indicate that a number is in an extended digit format</w:t>
      </w:r>
      <w:r w:rsidR="003E50EF">
        <w:rPr>
          <w:rFonts w:ascii="Arial" w:hAnsi="Arial" w:cs="Arial"/>
        </w:rPr>
        <w:t xml:space="preserve"> whereas if the D-digit was </w:t>
      </w:r>
      <w:r w:rsidR="00BD50D1">
        <w:rPr>
          <w:rFonts w:ascii="Arial" w:hAnsi="Arial" w:cs="Arial"/>
        </w:rPr>
        <w:t>a 2 through 9, it would indicate a 1+10-digit number.</w:t>
      </w:r>
    </w:p>
    <w:p w14:paraId="00AD8C34" w14:textId="69646CF1" w:rsidR="00A71F39" w:rsidRPr="002634BA" w:rsidRDefault="00A71F39" w:rsidP="002C2E0A">
      <w:pPr>
        <w:rPr>
          <w:rFonts w:ascii="Arial" w:hAnsi="Arial" w:cs="Arial"/>
          <w:u w:val="single"/>
          <w:lang w:val="en-US"/>
        </w:rPr>
      </w:pPr>
      <w:r w:rsidRPr="002634BA">
        <w:rPr>
          <w:rFonts w:ascii="Arial" w:hAnsi="Arial" w:cs="Arial"/>
          <w:u w:val="single"/>
          <w:lang w:val="en-US"/>
        </w:rPr>
        <w:t>Block size</w:t>
      </w:r>
    </w:p>
    <w:p w14:paraId="4002C404" w14:textId="1C84668B" w:rsidR="001777BC" w:rsidRPr="002634BA" w:rsidRDefault="001B1EEE" w:rsidP="002C2E0A">
      <w:pPr>
        <w:rPr>
          <w:rFonts w:ascii="Arial" w:hAnsi="Arial" w:cs="Arial"/>
          <w:lang w:val="en-US"/>
        </w:rPr>
      </w:pPr>
      <w:r>
        <w:rPr>
          <w:rFonts w:ascii="Arial" w:hAnsi="Arial" w:cs="Arial"/>
          <w:lang w:val="en-US"/>
        </w:rPr>
        <w:t>N</w:t>
      </w:r>
      <w:r w:rsidR="0094271D">
        <w:rPr>
          <w:rFonts w:ascii="Arial" w:hAnsi="Arial" w:cs="Arial"/>
          <w:lang w:val="en-US"/>
        </w:rPr>
        <w:t xml:space="preserve">on-geographic blocks are assigned </w:t>
      </w:r>
      <w:r w:rsidR="00623CBD">
        <w:rPr>
          <w:rFonts w:ascii="Arial" w:hAnsi="Arial" w:cs="Arial"/>
          <w:lang w:val="en-US"/>
        </w:rPr>
        <w:t xml:space="preserve">based on </w:t>
      </w:r>
      <w:proofErr w:type="gramStart"/>
      <w:r w:rsidR="00623CBD">
        <w:rPr>
          <w:rFonts w:ascii="Arial" w:hAnsi="Arial" w:cs="Arial"/>
          <w:lang w:val="en-US"/>
        </w:rPr>
        <w:t>the DEF</w:t>
      </w:r>
      <w:proofErr w:type="gramEnd"/>
      <w:r w:rsidR="00623CBD">
        <w:rPr>
          <w:rFonts w:ascii="Arial" w:hAnsi="Arial" w:cs="Arial"/>
          <w:lang w:val="en-US"/>
        </w:rPr>
        <w:t xml:space="preserve"> digits</w:t>
      </w:r>
      <w:r w:rsidR="00C3177C">
        <w:rPr>
          <w:rFonts w:ascii="Arial" w:hAnsi="Arial" w:cs="Arial"/>
          <w:lang w:val="en-US"/>
        </w:rPr>
        <w:t xml:space="preserve">. Assuming the XXX format is being used in </w:t>
      </w:r>
      <w:r w:rsidR="00FA0AAA">
        <w:rPr>
          <w:rFonts w:ascii="Arial" w:hAnsi="Arial" w:cs="Arial"/>
          <w:lang w:val="en-US"/>
        </w:rPr>
        <w:t xml:space="preserve">a </w:t>
      </w:r>
      <w:r w:rsidR="00C3177C">
        <w:rPr>
          <w:rFonts w:ascii="Arial" w:hAnsi="Arial" w:cs="Arial"/>
          <w:lang w:val="en-US"/>
        </w:rPr>
        <w:t xml:space="preserve">1+14-digit NPA, this would create </w:t>
      </w:r>
      <w:r w:rsidR="00835D3B">
        <w:rPr>
          <w:rFonts w:ascii="Arial" w:hAnsi="Arial" w:cs="Arial"/>
          <w:lang w:val="en-US"/>
        </w:rPr>
        <w:t xml:space="preserve">1,000 blocks of 100 million </w:t>
      </w:r>
      <w:r w:rsidR="007C7FE1">
        <w:rPr>
          <w:rFonts w:ascii="Arial" w:hAnsi="Arial" w:cs="Arial"/>
          <w:lang w:val="en-US"/>
        </w:rPr>
        <w:t>TNs</w:t>
      </w:r>
      <w:r w:rsidR="00835D3B">
        <w:rPr>
          <w:rFonts w:ascii="Arial" w:hAnsi="Arial" w:cs="Arial"/>
          <w:lang w:val="en-US"/>
        </w:rPr>
        <w:t>.</w:t>
      </w:r>
      <w:r w:rsidR="00F1100A">
        <w:rPr>
          <w:rFonts w:ascii="Arial" w:hAnsi="Arial" w:cs="Arial"/>
          <w:lang w:val="en-US"/>
        </w:rPr>
        <w:t xml:space="preserve"> Using more digits to identify the blocks (i.e.</w:t>
      </w:r>
      <w:r w:rsidR="000229ED">
        <w:rPr>
          <w:rFonts w:ascii="Arial" w:hAnsi="Arial" w:cs="Arial"/>
          <w:lang w:val="en-US"/>
        </w:rPr>
        <w:t>,</w:t>
      </w:r>
      <w:r w:rsidR="00F1100A">
        <w:rPr>
          <w:rFonts w:ascii="Arial" w:hAnsi="Arial" w:cs="Arial"/>
          <w:lang w:val="en-US"/>
        </w:rPr>
        <w:t xml:space="preserve"> DEFG</w:t>
      </w:r>
      <w:r w:rsidR="00965425">
        <w:rPr>
          <w:rFonts w:ascii="Arial" w:hAnsi="Arial" w:cs="Arial"/>
          <w:lang w:val="en-US"/>
        </w:rPr>
        <w:t>, etc.</w:t>
      </w:r>
      <w:r w:rsidR="00F1100A">
        <w:rPr>
          <w:rFonts w:ascii="Arial" w:hAnsi="Arial" w:cs="Arial"/>
          <w:lang w:val="en-US"/>
        </w:rPr>
        <w:t>) would create</w:t>
      </w:r>
      <w:r w:rsidR="00686E4B">
        <w:rPr>
          <w:rFonts w:ascii="Arial" w:hAnsi="Arial" w:cs="Arial"/>
          <w:lang w:val="en-US"/>
        </w:rPr>
        <w:t xml:space="preserve"> smaller blocks but increase the number</w:t>
      </w:r>
      <w:r w:rsidR="00965425">
        <w:rPr>
          <w:rFonts w:ascii="Arial" w:hAnsi="Arial" w:cs="Arial"/>
          <w:lang w:val="en-US"/>
        </w:rPr>
        <w:t xml:space="preserve"> of available blocks</w:t>
      </w:r>
      <w:r w:rsidR="00686E4B">
        <w:rPr>
          <w:rFonts w:ascii="Arial" w:hAnsi="Arial" w:cs="Arial"/>
          <w:lang w:val="en-US"/>
        </w:rPr>
        <w:t>.</w:t>
      </w:r>
      <w:r w:rsidR="00835D3B">
        <w:rPr>
          <w:rFonts w:ascii="Arial" w:hAnsi="Arial" w:cs="Arial"/>
          <w:lang w:val="en-US"/>
        </w:rPr>
        <w:t xml:space="preserve"> </w:t>
      </w:r>
    </w:p>
    <w:p w14:paraId="07606A8B" w14:textId="38B71572" w:rsidR="00891B8C" w:rsidRDefault="004735D2" w:rsidP="004735D2">
      <w:pPr>
        <w:pStyle w:val="Heading1"/>
        <w:numPr>
          <w:ilvl w:val="0"/>
          <w:numId w:val="9"/>
        </w:numPr>
        <w:ind w:left="720" w:hanging="720"/>
        <w:rPr>
          <w:rFonts w:ascii="Arial" w:hAnsi="Arial"/>
          <w:sz w:val="24"/>
          <w:szCs w:val="24"/>
        </w:rPr>
      </w:pPr>
      <w:r w:rsidRPr="004735D2">
        <w:rPr>
          <w:rFonts w:ascii="Arial" w:hAnsi="Arial"/>
          <w:sz w:val="24"/>
          <w:szCs w:val="24"/>
        </w:rPr>
        <w:t>Analysis</w:t>
      </w:r>
    </w:p>
    <w:p w14:paraId="46827AA7" w14:textId="77777777" w:rsidR="00647957" w:rsidRPr="00D76996" w:rsidRDefault="00647957" w:rsidP="00223B7E"/>
    <w:p w14:paraId="4BC9F5DD" w14:textId="77777777" w:rsidR="00B83789" w:rsidRPr="00B1506F" w:rsidRDefault="00B83789" w:rsidP="00B83789">
      <w:pPr>
        <w:rPr>
          <w:rFonts w:ascii="Arial" w:hAnsi="Arial" w:cs="Arial"/>
          <w:u w:val="single"/>
        </w:rPr>
      </w:pPr>
      <w:r w:rsidRPr="00B1506F">
        <w:rPr>
          <w:rFonts w:ascii="Arial" w:hAnsi="Arial" w:cs="Arial"/>
          <w:u w:val="single"/>
        </w:rPr>
        <w:t>1+12 digit</w:t>
      </w:r>
    </w:p>
    <w:p w14:paraId="1DE9F9A7" w14:textId="0C777E4B" w:rsidR="00B83789" w:rsidRDefault="003A090A" w:rsidP="00B83789">
      <w:pPr>
        <w:rPr>
          <w:rFonts w:ascii="Arial" w:hAnsi="Arial" w:cs="Arial"/>
        </w:rPr>
      </w:pPr>
      <w:r>
        <w:rPr>
          <w:rFonts w:ascii="Arial" w:hAnsi="Arial" w:cs="Arial"/>
        </w:rPr>
        <w:t xml:space="preserve">Originally an option of </w:t>
      </w:r>
      <w:r w:rsidR="00B320EB">
        <w:rPr>
          <w:rFonts w:ascii="Arial" w:hAnsi="Arial" w:cs="Arial"/>
        </w:rPr>
        <w:t xml:space="preserve">a </w:t>
      </w:r>
      <w:proofErr w:type="gramStart"/>
      <w:r>
        <w:rPr>
          <w:rFonts w:ascii="Arial" w:hAnsi="Arial" w:cs="Arial"/>
        </w:rPr>
        <w:t>1+12 digit</w:t>
      </w:r>
      <w:proofErr w:type="gramEnd"/>
      <w:r w:rsidR="00396EC3">
        <w:rPr>
          <w:rFonts w:ascii="Arial" w:hAnsi="Arial" w:cs="Arial"/>
        </w:rPr>
        <w:t xml:space="preserve"> NPA</w:t>
      </w:r>
      <w:r>
        <w:rPr>
          <w:rFonts w:ascii="Arial" w:hAnsi="Arial" w:cs="Arial"/>
        </w:rPr>
        <w:t xml:space="preserve"> was considered </w:t>
      </w:r>
      <w:r w:rsidR="0068483E">
        <w:rPr>
          <w:rFonts w:ascii="Arial" w:hAnsi="Arial" w:cs="Arial"/>
        </w:rPr>
        <w:t xml:space="preserve">in case some carriers were able to </w:t>
      </w:r>
      <w:r w:rsidR="005F5891">
        <w:rPr>
          <w:rFonts w:ascii="Arial" w:hAnsi="Arial" w:cs="Arial"/>
        </w:rPr>
        <w:t>support</w:t>
      </w:r>
      <w:r w:rsidR="00A82A24">
        <w:rPr>
          <w:rFonts w:ascii="Arial" w:hAnsi="Arial" w:cs="Arial"/>
        </w:rPr>
        <w:t xml:space="preserve"> </w:t>
      </w:r>
      <w:r w:rsidR="00424E86">
        <w:rPr>
          <w:rFonts w:ascii="Arial" w:hAnsi="Arial" w:cs="Arial"/>
        </w:rPr>
        <w:t xml:space="preserve">1+12 digits more </w:t>
      </w:r>
      <w:r w:rsidR="00C313B7">
        <w:rPr>
          <w:rFonts w:ascii="Arial" w:hAnsi="Arial" w:cs="Arial"/>
        </w:rPr>
        <w:t xml:space="preserve">quickly than </w:t>
      </w:r>
      <w:r w:rsidR="0068483E">
        <w:rPr>
          <w:rFonts w:ascii="Arial" w:hAnsi="Arial" w:cs="Arial"/>
        </w:rPr>
        <w:t>1+14 digits</w:t>
      </w:r>
      <w:r w:rsidR="008D1E8E">
        <w:rPr>
          <w:rFonts w:ascii="Arial" w:hAnsi="Arial" w:cs="Arial"/>
        </w:rPr>
        <w:t xml:space="preserve"> with the goal </w:t>
      </w:r>
      <w:r w:rsidR="008C3069">
        <w:rPr>
          <w:rFonts w:ascii="Arial" w:hAnsi="Arial" w:cs="Arial"/>
        </w:rPr>
        <w:t xml:space="preserve">of eventually transitioning to 1+14 digits. There were no carriers that participated </w:t>
      </w:r>
      <w:r w:rsidR="00131073">
        <w:rPr>
          <w:rFonts w:ascii="Arial" w:hAnsi="Arial" w:cs="Arial"/>
        </w:rPr>
        <w:t xml:space="preserve">in CSCN discussions </w:t>
      </w:r>
      <w:r w:rsidR="008C3069">
        <w:rPr>
          <w:rFonts w:ascii="Arial" w:hAnsi="Arial" w:cs="Arial"/>
        </w:rPr>
        <w:t xml:space="preserve">that indicated they could not </w:t>
      </w:r>
      <w:r w:rsidR="00961DF7">
        <w:rPr>
          <w:rFonts w:ascii="Arial" w:hAnsi="Arial" w:cs="Arial"/>
        </w:rPr>
        <w:t xml:space="preserve">support 1+14-digits and so it was deemed more </w:t>
      </w:r>
      <w:r w:rsidR="005F5891">
        <w:rPr>
          <w:rFonts w:ascii="Arial" w:hAnsi="Arial" w:cs="Arial"/>
        </w:rPr>
        <w:t>efficient</w:t>
      </w:r>
      <w:r w:rsidR="00961DF7">
        <w:rPr>
          <w:rFonts w:ascii="Arial" w:hAnsi="Arial" w:cs="Arial"/>
        </w:rPr>
        <w:t xml:space="preserve"> to go straight to 1+14 digits and only </w:t>
      </w:r>
      <w:r w:rsidR="003C4BBF">
        <w:rPr>
          <w:rFonts w:ascii="Arial" w:hAnsi="Arial" w:cs="Arial"/>
        </w:rPr>
        <w:t>update network functionality once.</w:t>
      </w:r>
      <w:r w:rsidR="007D4D98">
        <w:rPr>
          <w:rFonts w:ascii="Arial" w:hAnsi="Arial" w:cs="Arial"/>
        </w:rPr>
        <w:t xml:space="preserve"> This would mean that the changes would only need to be implemented once rather than in </w:t>
      </w:r>
      <w:r w:rsidR="009152CC">
        <w:rPr>
          <w:rFonts w:ascii="Arial" w:hAnsi="Arial" w:cs="Arial"/>
        </w:rPr>
        <w:t>two</w:t>
      </w:r>
      <w:r w:rsidR="007D4D98">
        <w:rPr>
          <w:rFonts w:ascii="Arial" w:hAnsi="Arial" w:cs="Arial"/>
        </w:rPr>
        <w:t xml:space="preserve"> phases.</w:t>
      </w:r>
    </w:p>
    <w:p w14:paraId="31027E8B" w14:textId="5B21DC41" w:rsidR="00FE3F26" w:rsidRDefault="00FE3F26" w:rsidP="00B83789">
      <w:pPr>
        <w:rPr>
          <w:rFonts w:ascii="Arial" w:hAnsi="Arial" w:cs="Arial"/>
        </w:rPr>
      </w:pPr>
      <w:r>
        <w:rPr>
          <w:rFonts w:ascii="Arial" w:hAnsi="Arial" w:cs="Arial"/>
        </w:rPr>
        <w:t xml:space="preserve">The NANC IoT working group report published on 13 December 2024 </w:t>
      </w:r>
      <w:r w:rsidR="000E2649">
        <w:rPr>
          <w:rFonts w:ascii="Arial" w:hAnsi="Arial" w:cs="Arial"/>
        </w:rPr>
        <w:t>included</w:t>
      </w:r>
      <w:r w:rsidR="00452FE8">
        <w:rPr>
          <w:rFonts w:ascii="Arial" w:hAnsi="Arial" w:cs="Arial"/>
        </w:rPr>
        <w:t xml:space="preserve"> the </w:t>
      </w:r>
      <w:proofErr w:type="gramStart"/>
      <w:r w:rsidR="00452FE8">
        <w:rPr>
          <w:rFonts w:ascii="Arial" w:hAnsi="Arial" w:cs="Arial"/>
        </w:rPr>
        <w:t>1+14 digit</w:t>
      </w:r>
      <w:proofErr w:type="gramEnd"/>
      <w:r w:rsidR="00452FE8">
        <w:rPr>
          <w:rFonts w:ascii="Arial" w:hAnsi="Arial" w:cs="Arial"/>
        </w:rPr>
        <w:t xml:space="preserve"> numbering format</w:t>
      </w:r>
      <w:r w:rsidR="003458C9">
        <w:rPr>
          <w:rFonts w:ascii="Arial" w:hAnsi="Arial" w:cs="Arial"/>
        </w:rPr>
        <w:t xml:space="preserve"> as an option</w:t>
      </w:r>
      <w:r w:rsidR="00F8778C">
        <w:rPr>
          <w:rFonts w:ascii="Arial" w:hAnsi="Arial" w:cs="Arial"/>
        </w:rPr>
        <w:t xml:space="preserve">. While 1+12 digits was discussed in the working group, it </w:t>
      </w:r>
      <w:r w:rsidR="00462154">
        <w:rPr>
          <w:rFonts w:ascii="Arial" w:hAnsi="Arial" w:cs="Arial"/>
        </w:rPr>
        <w:t>was not included in</w:t>
      </w:r>
      <w:r w:rsidR="00F8778C">
        <w:rPr>
          <w:rFonts w:ascii="Arial" w:hAnsi="Arial" w:cs="Arial"/>
        </w:rPr>
        <w:t xml:space="preserve"> the report</w:t>
      </w:r>
      <w:r w:rsidR="003458C9">
        <w:rPr>
          <w:rFonts w:ascii="Arial" w:hAnsi="Arial" w:cs="Arial"/>
        </w:rPr>
        <w:t xml:space="preserve"> </w:t>
      </w:r>
      <w:r w:rsidR="00F8778C">
        <w:rPr>
          <w:rFonts w:ascii="Arial" w:hAnsi="Arial" w:cs="Arial"/>
        </w:rPr>
        <w:t xml:space="preserve">which would indicate that </w:t>
      </w:r>
      <w:r w:rsidR="003458C9">
        <w:rPr>
          <w:rFonts w:ascii="Arial" w:hAnsi="Arial" w:cs="Arial"/>
        </w:rPr>
        <w:t>1+12 digits</w:t>
      </w:r>
      <w:r w:rsidR="00F8778C">
        <w:rPr>
          <w:rFonts w:ascii="Arial" w:hAnsi="Arial" w:cs="Arial"/>
        </w:rPr>
        <w:t xml:space="preserve"> is not being considered in the US.</w:t>
      </w:r>
    </w:p>
    <w:p w14:paraId="059F19E8" w14:textId="460CCC60" w:rsidR="002060CD" w:rsidRDefault="00D65398" w:rsidP="00B83789">
      <w:pPr>
        <w:rPr>
          <w:rFonts w:ascii="Arial" w:hAnsi="Arial" w:cs="Arial"/>
        </w:rPr>
      </w:pPr>
      <w:r>
        <w:rPr>
          <w:rFonts w:ascii="Arial" w:hAnsi="Arial" w:cs="Arial"/>
        </w:rPr>
        <w:t xml:space="preserve">The CSCN </w:t>
      </w:r>
      <w:r w:rsidR="00CE435F">
        <w:rPr>
          <w:rFonts w:ascii="Arial" w:hAnsi="Arial" w:cs="Arial"/>
        </w:rPr>
        <w:t xml:space="preserve">does not recommend </w:t>
      </w:r>
      <w:r w:rsidR="00525C94">
        <w:rPr>
          <w:rFonts w:ascii="Arial" w:hAnsi="Arial" w:cs="Arial"/>
        </w:rPr>
        <w:t>the 1+12-digit format</w:t>
      </w:r>
      <w:r w:rsidR="00F66EAC">
        <w:rPr>
          <w:rFonts w:ascii="Arial" w:hAnsi="Arial" w:cs="Arial"/>
        </w:rPr>
        <w:t>.</w:t>
      </w:r>
    </w:p>
    <w:p w14:paraId="39F27BFF" w14:textId="77777777" w:rsidR="00EA4782" w:rsidRDefault="00EA4782" w:rsidP="00B83789">
      <w:pPr>
        <w:rPr>
          <w:rFonts w:ascii="Arial" w:hAnsi="Arial" w:cs="Arial"/>
        </w:rPr>
      </w:pPr>
    </w:p>
    <w:p w14:paraId="341B3165" w14:textId="34EC8733" w:rsidR="00B83789" w:rsidRPr="002634BA" w:rsidRDefault="00B83789" w:rsidP="00B83789">
      <w:pPr>
        <w:rPr>
          <w:rFonts w:ascii="Arial" w:hAnsi="Arial" w:cs="Arial"/>
          <w:u w:val="single"/>
          <w:lang w:val="en-US"/>
        </w:rPr>
      </w:pPr>
      <w:r w:rsidRPr="002634BA">
        <w:rPr>
          <w:rFonts w:ascii="Arial" w:hAnsi="Arial" w:cs="Arial"/>
          <w:u w:val="single"/>
          <w:lang w:val="en-US"/>
        </w:rPr>
        <w:t>1+14-digit</w:t>
      </w:r>
      <w:r w:rsidR="005F5891">
        <w:rPr>
          <w:rFonts w:ascii="Arial" w:hAnsi="Arial" w:cs="Arial"/>
          <w:u w:val="single"/>
          <w:lang w:val="en-US"/>
        </w:rPr>
        <w:t>s</w:t>
      </w:r>
    </w:p>
    <w:p w14:paraId="273FFBDF" w14:textId="596EAB7E" w:rsidR="00B55132" w:rsidRDefault="00FA79B6" w:rsidP="004C5DD4">
      <w:pPr>
        <w:rPr>
          <w:rFonts w:ascii="Arial" w:hAnsi="Arial" w:cs="Arial"/>
          <w:lang w:val="en-US"/>
        </w:rPr>
      </w:pPr>
      <w:r w:rsidRPr="002634BA">
        <w:rPr>
          <w:rFonts w:ascii="Arial" w:hAnsi="Arial" w:cs="Arial"/>
          <w:lang w:val="en-US"/>
        </w:rPr>
        <w:t xml:space="preserve">A </w:t>
      </w:r>
      <w:proofErr w:type="gramStart"/>
      <w:r w:rsidRPr="002634BA">
        <w:rPr>
          <w:rFonts w:ascii="Arial" w:hAnsi="Arial" w:cs="Arial"/>
          <w:lang w:val="en-US"/>
        </w:rPr>
        <w:t>1+14 digit</w:t>
      </w:r>
      <w:proofErr w:type="gramEnd"/>
      <w:r w:rsidRPr="002634BA">
        <w:rPr>
          <w:rFonts w:ascii="Arial" w:hAnsi="Arial" w:cs="Arial"/>
          <w:lang w:val="en-US"/>
        </w:rPr>
        <w:t xml:space="preserve"> NPA </w:t>
      </w:r>
      <w:r w:rsidR="00801D02">
        <w:rPr>
          <w:rFonts w:ascii="Arial" w:hAnsi="Arial" w:cs="Arial"/>
          <w:lang w:val="en-US"/>
        </w:rPr>
        <w:t xml:space="preserve">offers significant advantages as it </w:t>
      </w:r>
      <w:r w:rsidRPr="002634BA">
        <w:rPr>
          <w:rFonts w:ascii="Arial" w:hAnsi="Arial" w:cs="Arial"/>
          <w:lang w:val="en-US"/>
        </w:rPr>
        <w:t>wou</w:t>
      </w:r>
      <w:r>
        <w:rPr>
          <w:rFonts w:ascii="Arial" w:hAnsi="Arial" w:cs="Arial"/>
          <w:lang w:val="en-US"/>
        </w:rPr>
        <w:t>ld</w:t>
      </w:r>
      <w:r w:rsidR="005F5891">
        <w:rPr>
          <w:rFonts w:ascii="Arial" w:hAnsi="Arial" w:cs="Arial"/>
          <w:lang w:val="en-US"/>
        </w:rPr>
        <w:t xml:space="preserve"> </w:t>
      </w:r>
      <w:r>
        <w:rPr>
          <w:rFonts w:ascii="Arial" w:hAnsi="Arial" w:cs="Arial"/>
          <w:lang w:val="en-US"/>
        </w:rPr>
        <w:t>provide</w:t>
      </w:r>
      <w:r w:rsidR="0067176B">
        <w:rPr>
          <w:rFonts w:ascii="Arial" w:hAnsi="Arial" w:cs="Arial"/>
          <w:lang w:val="en-US"/>
        </w:rPr>
        <w:t xml:space="preserve"> 100 times more</w:t>
      </w:r>
      <w:r w:rsidR="000471B3">
        <w:rPr>
          <w:rFonts w:ascii="Arial" w:hAnsi="Arial" w:cs="Arial"/>
          <w:lang w:val="en-US"/>
        </w:rPr>
        <w:t xml:space="preserve"> individual TNs in an NPA than a 1+</w:t>
      </w:r>
      <w:r w:rsidR="00D2770E">
        <w:rPr>
          <w:rFonts w:ascii="Arial" w:hAnsi="Arial" w:cs="Arial"/>
          <w:lang w:val="en-US"/>
        </w:rPr>
        <w:t>12-</w:t>
      </w:r>
      <w:r w:rsidR="000471B3">
        <w:rPr>
          <w:rFonts w:ascii="Arial" w:hAnsi="Arial" w:cs="Arial"/>
          <w:lang w:val="en-US"/>
        </w:rPr>
        <w:t>digit implementation</w:t>
      </w:r>
      <w:r w:rsidR="00133FC0">
        <w:rPr>
          <w:rFonts w:ascii="Arial" w:hAnsi="Arial" w:cs="Arial"/>
          <w:lang w:val="en-US"/>
        </w:rPr>
        <w:t xml:space="preserve"> and 10,000 times more numbers than the current implementation of</w:t>
      </w:r>
      <w:r w:rsidR="003B14F1">
        <w:rPr>
          <w:rFonts w:ascii="Arial" w:hAnsi="Arial" w:cs="Arial"/>
          <w:lang w:val="en-US"/>
        </w:rPr>
        <w:t xml:space="preserve"> 1+10 digits</w:t>
      </w:r>
      <w:r w:rsidR="000471B3">
        <w:rPr>
          <w:rFonts w:ascii="Arial" w:hAnsi="Arial" w:cs="Arial"/>
          <w:lang w:val="en-US"/>
        </w:rPr>
        <w:t xml:space="preserve">. </w:t>
      </w:r>
      <w:r w:rsidR="00B15EE9">
        <w:rPr>
          <w:rFonts w:ascii="Arial" w:hAnsi="Arial" w:cs="Arial"/>
          <w:lang w:val="en-US"/>
        </w:rPr>
        <w:t>Further,</w:t>
      </w:r>
      <w:r w:rsidR="004406DB">
        <w:rPr>
          <w:rFonts w:ascii="Arial" w:hAnsi="Arial" w:cs="Arial"/>
          <w:lang w:val="en-US"/>
        </w:rPr>
        <w:t xml:space="preserve"> this format </w:t>
      </w:r>
      <w:r w:rsidR="00740E6F">
        <w:rPr>
          <w:rFonts w:ascii="Arial" w:hAnsi="Arial" w:cs="Arial"/>
          <w:lang w:val="en-US"/>
        </w:rPr>
        <w:t>r</w:t>
      </w:r>
      <w:r w:rsidR="00740E6F" w:rsidRPr="0061640D">
        <w:rPr>
          <w:rFonts w:ascii="Arial" w:hAnsi="Arial" w:cs="Arial"/>
          <w:lang w:val="en-US"/>
        </w:rPr>
        <w:t>epresents</w:t>
      </w:r>
      <w:r w:rsidR="0061640D" w:rsidRPr="0061640D">
        <w:rPr>
          <w:rFonts w:ascii="Arial" w:hAnsi="Arial" w:cs="Arial"/>
          <w:lang w:val="en-US"/>
        </w:rPr>
        <w:t xml:space="preserve"> the maximum length for an E.164-compliant number with a 1-digit country code</w:t>
      </w:r>
      <w:r w:rsidR="00740E6F">
        <w:rPr>
          <w:rFonts w:ascii="Arial" w:hAnsi="Arial" w:cs="Arial"/>
          <w:lang w:val="en-US"/>
        </w:rPr>
        <w:t xml:space="preserve"> and would provide the maximum quantity of</w:t>
      </w:r>
      <w:r w:rsidR="0061640D" w:rsidRPr="0061640D">
        <w:rPr>
          <w:rFonts w:ascii="Arial" w:hAnsi="Arial" w:cs="Arial"/>
          <w:lang w:val="en-US"/>
        </w:rPr>
        <w:t xml:space="preserve"> TNs per NPA.</w:t>
      </w:r>
    </w:p>
    <w:p w14:paraId="61563B94" w14:textId="6E755B64" w:rsidR="00026274" w:rsidRDefault="0067113C" w:rsidP="004C5DD4">
      <w:pPr>
        <w:rPr>
          <w:rFonts w:ascii="Arial" w:hAnsi="Arial" w:cs="Arial"/>
        </w:rPr>
      </w:pPr>
      <w:r>
        <w:rPr>
          <w:rFonts w:ascii="Arial" w:hAnsi="Arial" w:cs="Arial"/>
        </w:rPr>
        <w:lastRenderedPageBreak/>
        <w:t>Since t</w:t>
      </w:r>
      <w:r w:rsidR="003F5877">
        <w:rPr>
          <w:rFonts w:ascii="Arial" w:hAnsi="Arial" w:cs="Arial"/>
        </w:rPr>
        <w:t xml:space="preserve">he </w:t>
      </w:r>
      <w:proofErr w:type="gramStart"/>
      <w:r w:rsidR="003F5877">
        <w:rPr>
          <w:rFonts w:ascii="Arial" w:hAnsi="Arial" w:cs="Arial"/>
        </w:rPr>
        <w:t>1+14 digit</w:t>
      </w:r>
      <w:proofErr w:type="gramEnd"/>
      <w:r w:rsidR="003F5877">
        <w:rPr>
          <w:rFonts w:ascii="Arial" w:hAnsi="Arial" w:cs="Arial"/>
        </w:rPr>
        <w:t xml:space="preserve"> number format was </w:t>
      </w:r>
      <w:r w:rsidR="00A90CA8">
        <w:rPr>
          <w:rFonts w:ascii="Arial" w:hAnsi="Arial" w:cs="Arial"/>
        </w:rPr>
        <w:t xml:space="preserve">the only expansion format </w:t>
      </w:r>
      <w:r w:rsidR="003F5877">
        <w:rPr>
          <w:rFonts w:ascii="Arial" w:hAnsi="Arial" w:cs="Arial"/>
        </w:rPr>
        <w:t>included in the NANC IoT working group report</w:t>
      </w:r>
      <w:r>
        <w:rPr>
          <w:rFonts w:ascii="Arial" w:hAnsi="Arial" w:cs="Arial"/>
        </w:rPr>
        <w:t xml:space="preserve">, </w:t>
      </w:r>
      <w:r w:rsidR="0073074E">
        <w:rPr>
          <w:rFonts w:ascii="Arial" w:hAnsi="Arial" w:cs="Arial"/>
        </w:rPr>
        <w:t>which</w:t>
      </w:r>
      <w:r>
        <w:rPr>
          <w:rFonts w:ascii="Arial" w:hAnsi="Arial" w:cs="Arial"/>
        </w:rPr>
        <w:t xml:space="preserve"> indicates it is being </w:t>
      </w:r>
      <w:r w:rsidR="007958E6">
        <w:rPr>
          <w:rFonts w:ascii="Arial" w:hAnsi="Arial" w:cs="Arial"/>
        </w:rPr>
        <w:t>considered by the US industry as an option for extending the life of non-geographic NPAs.</w:t>
      </w:r>
    </w:p>
    <w:p w14:paraId="7E5DB6BB" w14:textId="51D28EAA" w:rsidR="00296A59" w:rsidRDefault="00066C37" w:rsidP="004C5DD4">
      <w:pPr>
        <w:rPr>
          <w:rFonts w:ascii="Arial" w:hAnsi="Arial" w:cs="Arial"/>
        </w:rPr>
      </w:pPr>
      <w:r>
        <w:rPr>
          <w:rFonts w:ascii="Arial" w:hAnsi="Arial" w:cs="Arial"/>
        </w:rPr>
        <w:t xml:space="preserve">Existing </w:t>
      </w:r>
      <w:proofErr w:type="gramStart"/>
      <w:r w:rsidR="00640A55">
        <w:rPr>
          <w:rFonts w:ascii="Arial" w:hAnsi="Arial" w:cs="Arial"/>
        </w:rPr>
        <w:t>1+10 digit</w:t>
      </w:r>
      <w:proofErr w:type="gramEnd"/>
      <w:r w:rsidR="00640A55">
        <w:rPr>
          <w:rFonts w:ascii="Arial" w:hAnsi="Arial" w:cs="Arial"/>
        </w:rPr>
        <w:t xml:space="preserve"> </w:t>
      </w:r>
      <w:r w:rsidR="00C848F9">
        <w:rPr>
          <w:rFonts w:ascii="Arial" w:hAnsi="Arial" w:cs="Arial"/>
        </w:rPr>
        <w:t xml:space="preserve">non-geographic </w:t>
      </w:r>
      <w:r w:rsidR="00640A55">
        <w:rPr>
          <w:rFonts w:ascii="Arial" w:hAnsi="Arial" w:cs="Arial"/>
        </w:rPr>
        <w:t>N</w:t>
      </w:r>
      <w:r w:rsidR="00C848F9">
        <w:rPr>
          <w:rFonts w:ascii="Arial" w:hAnsi="Arial" w:cs="Arial"/>
        </w:rPr>
        <w:t>PA</w:t>
      </w:r>
      <w:r w:rsidR="00640A55">
        <w:rPr>
          <w:rFonts w:ascii="Arial" w:hAnsi="Arial" w:cs="Arial"/>
        </w:rPr>
        <w:t xml:space="preserve">s that are not exhausted prior to the implementation of </w:t>
      </w:r>
      <w:r w:rsidR="00C848F9">
        <w:rPr>
          <w:rFonts w:ascii="Arial" w:hAnsi="Arial" w:cs="Arial"/>
        </w:rPr>
        <w:t xml:space="preserve">an extended digit format NPA will continue to be available for assignment for those carriers that </w:t>
      </w:r>
      <w:r w:rsidR="00B05CB6">
        <w:rPr>
          <w:rFonts w:ascii="Arial" w:hAnsi="Arial" w:cs="Arial"/>
        </w:rPr>
        <w:t>may require additional time to support the extended digit format in their networks.</w:t>
      </w:r>
      <w:r w:rsidR="00CA5B23">
        <w:rPr>
          <w:rFonts w:ascii="Arial" w:hAnsi="Arial" w:cs="Arial"/>
        </w:rPr>
        <w:t xml:space="preserve"> </w:t>
      </w:r>
    </w:p>
    <w:p w14:paraId="6BDE2288" w14:textId="14EFEFBB" w:rsidR="00C329D4" w:rsidRDefault="00171926" w:rsidP="00B83789">
      <w:pPr>
        <w:rPr>
          <w:rFonts w:ascii="Arial" w:hAnsi="Arial" w:cs="Arial"/>
          <w:lang w:val="en-US"/>
        </w:rPr>
      </w:pPr>
      <w:r>
        <w:rPr>
          <w:rFonts w:ascii="Arial" w:hAnsi="Arial" w:cs="Arial"/>
          <w:lang w:val="en-US"/>
        </w:rPr>
        <w:t xml:space="preserve">Considering the </w:t>
      </w:r>
      <w:r w:rsidR="00FD1622">
        <w:rPr>
          <w:rFonts w:ascii="Arial" w:hAnsi="Arial" w:cs="Arial"/>
          <w:lang w:val="en-US"/>
        </w:rPr>
        <w:t>significant</w:t>
      </w:r>
      <w:r w:rsidR="004F1795">
        <w:rPr>
          <w:rFonts w:ascii="Arial" w:hAnsi="Arial" w:cs="Arial"/>
          <w:lang w:val="en-US"/>
        </w:rPr>
        <w:t xml:space="preserve"> </w:t>
      </w:r>
      <w:r w:rsidR="00DA266E">
        <w:rPr>
          <w:rFonts w:ascii="Arial" w:hAnsi="Arial" w:cs="Arial"/>
          <w:lang w:val="en-US"/>
        </w:rPr>
        <w:t>quantity of TNs</w:t>
      </w:r>
      <w:r w:rsidR="004F1795">
        <w:rPr>
          <w:rFonts w:ascii="Arial" w:hAnsi="Arial" w:cs="Arial"/>
          <w:lang w:val="en-US"/>
        </w:rPr>
        <w:t xml:space="preserve"> the </w:t>
      </w:r>
      <w:proofErr w:type="gramStart"/>
      <w:r w:rsidR="004F1795">
        <w:rPr>
          <w:rFonts w:ascii="Arial" w:hAnsi="Arial" w:cs="Arial"/>
          <w:lang w:val="en-US"/>
        </w:rPr>
        <w:t>1+14 digit</w:t>
      </w:r>
      <w:proofErr w:type="gramEnd"/>
      <w:r w:rsidR="004F1795">
        <w:rPr>
          <w:rFonts w:ascii="Arial" w:hAnsi="Arial" w:cs="Arial"/>
          <w:lang w:val="en-US"/>
        </w:rPr>
        <w:t xml:space="preserve"> format </w:t>
      </w:r>
      <w:r w:rsidR="005049BF">
        <w:rPr>
          <w:rFonts w:ascii="Arial" w:hAnsi="Arial" w:cs="Arial"/>
          <w:lang w:val="en-US"/>
        </w:rPr>
        <w:t>will</w:t>
      </w:r>
      <w:r w:rsidR="004F1795">
        <w:rPr>
          <w:rFonts w:ascii="Arial" w:hAnsi="Arial" w:cs="Arial"/>
          <w:lang w:val="en-US"/>
        </w:rPr>
        <w:t xml:space="preserve"> provide</w:t>
      </w:r>
      <w:r w:rsidR="005049BF">
        <w:rPr>
          <w:rFonts w:ascii="Arial" w:hAnsi="Arial" w:cs="Arial"/>
          <w:lang w:val="en-US"/>
        </w:rPr>
        <w:t xml:space="preserve">, </w:t>
      </w:r>
      <w:proofErr w:type="gramStart"/>
      <w:r w:rsidR="005049BF">
        <w:rPr>
          <w:rFonts w:ascii="Arial" w:hAnsi="Arial" w:cs="Arial"/>
          <w:lang w:val="en-US"/>
        </w:rPr>
        <w:t>t</w:t>
      </w:r>
      <w:r w:rsidR="004E346A">
        <w:rPr>
          <w:rFonts w:ascii="Arial" w:hAnsi="Arial" w:cs="Arial"/>
          <w:lang w:val="en-US"/>
        </w:rPr>
        <w:t>he CSCN</w:t>
      </w:r>
      <w:proofErr w:type="gramEnd"/>
      <w:r w:rsidR="004E346A">
        <w:rPr>
          <w:rFonts w:ascii="Arial" w:hAnsi="Arial" w:cs="Arial"/>
          <w:lang w:val="en-US"/>
        </w:rPr>
        <w:t xml:space="preserve"> prefers </w:t>
      </w:r>
      <w:r w:rsidR="009A4881">
        <w:rPr>
          <w:rFonts w:ascii="Arial" w:hAnsi="Arial" w:cs="Arial"/>
          <w:lang w:val="en-US"/>
        </w:rPr>
        <w:t xml:space="preserve">the </w:t>
      </w:r>
      <w:r w:rsidR="00B710C8">
        <w:rPr>
          <w:rFonts w:ascii="Arial" w:hAnsi="Arial" w:cs="Arial"/>
          <w:lang w:val="en-US"/>
        </w:rPr>
        <w:t xml:space="preserve">1+14-digit resources be </w:t>
      </w:r>
      <w:r w:rsidR="00D464BA">
        <w:rPr>
          <w:rFonts w:ascii="Arial" w:hAnsi="Arial" w:cs="Arial"/>
          <w:lang w:val="en-US"/>
        </w:rPr>
        <w:t xml:space="preserve">made available for assignment upon the implementation date </w:t>
      </w:r>
      <w:r w:rsidR="009251ED">
        <w:rPr>
          <w:rFonts w:ascii="Arial" w:hAnsi="Arial" w:cs="Arial"/>
          <w:lang w:val="en-US"/>
        </w:rPr>
        <w:t xml:space="preserve">regardless of the remaining inventory of </w:t>
      </w:r>
      <w:proofErr w:type="gramStart"/>
      <w:r w:rsidR="009251ED">
        <w:rPr>
          <w:rFonts w:ascii="Arial" w:hAnsi="Arial" w:cs="Arial"/>
          <w:lang w:val="en-US"/>
        </w:rPr>
        <w:t>1+10 digit</w:t>
      </w:r>
      <w:proofErr w:type="gramEnd"/>
      <w:r w:rsidR="009251ED">
        <w:rPr>
          <w:rFonts w:ascii="Arial" w:hAnsi="Arial" w:cs="Arial"/>
          <w:lang w:val="en-US"/>
        </w:rPr>
        <w:t xml:space="preserve"> resources.</w:t>
      </w:r>
    </w:p>
    <w:p w14:paraId="17C0673A" w14:textId="77777777" w:rsidR="00E50BCF" w:rsidRDefault="00E50BCF" w:rsidP="00B83789">
      <w:pPr>
        <w:rPr>
          <w:rFonts w:ascii="Arial" w:hAnsi="Arial" w:cs="Arial"/>
          <w:lang w:val="en-US"/>
        </w:rPr>
      </w:pPr>
    </w:p>
    <w:p w14:paraId="6D8C7136" w14:textId="77777777" w:rsidR="00C329D4" w:rsidRPr="00B1506F" w:rsidRDefault="00C329D4" w:rsidP="00C329D4">
      <w:pPr>
        <w:rPr>
          <w:rFonts w:ascii="Arial" w:hAnsi="Arial" w:cs="Arial"/>
          <w:u w:val="single"/>
          <w:lang w:val="en-US"/>
        </w:rPr>
      </w:pPr>
      <w:r w:rsidRPr="00B1506F">
        <w:rPr>
          <w:rFonts w:ascii="Arial" w:hAnsi="Arial" w:cs="Arial"/>
          <w:u w:val="single"/>
          <w:lang w:val="en-US"/>
        </w:rPr>
        <w:t>NXX format vs XXX format</w:t>
      </w:r>
    </w:p>
    <w:p w14:paraId="3FE01828" w14:textId="577EC573" w:rsidR="00C329D4" w:rsidRDefault="00C329D4" w:rsidP="00C329D4">
      <w:pPr>
        <w:rPr>
          <w:rFonts w:ascii="Arial" w:hAnsi="Arial" w:cs="Arial"/>
          <w:lang w:val="en-US"/>
        </w:rPr>
      </w:pPr>
      <w:r>
        <w:rPr>
          <w:rFonts w:ascii="Arial" w:hAnsi="Arial" w:cs="Arial"/>
          <w:lang w:val="en-US"/>
        </w:rPr>
        <w:t xml:space="preserve">An additional consideration that was raised during the new TIF 112 discussions was </w:t>
      </w:r>
      <w:proofErr w:type="gramStart"/>
      <w:r>
        <w:rPr>
          <w:rFonts w:ascii="Arial" w:hAnsi="Arial" w:cs="Arial"/>
          <w:lang w:val="en-US"/>
        </w:rPr>
        <w:t>whether or not</w:t>
      </w:r>
      <w:proofErr w:type="gramEnd"/>
      <w:r>
        <w:rPr>
          <w:rFonts w:ascii="Arial" w:hAnsi="Arial" w:cs="Arial"/>
          <w:lang w:val="en-US"/>
        </w:rPr>
        <w:t xml:space="preserve"> non-geographic numbers required codes being assigned in the traditional NXX format since they do not require any traditional network switch</w:t>
      </w:r>
      <w:r w:rsidR="00605A3C">
        <w:rPr>
          <w:rFonts w:ascii="Arial" w:hAnsi="Arial" w:cs="Arial"/>
          <w:lang w:val="en-US"/>
        </w:rPr>
        <w:t xml:space="preserve"> </w:t>
      </w:r>
      <w:r>
        <w:rPr>
          <w:rFonts w:ascii="Arial" w:hAnsi="Arial" w:cs="Arial"/>
          <w:lang w:val="en-US"/>
        </w:rPr>
        <w:t>provisioning nor are they portable.</w:t>
      </w:r>
      <w:r w:rsidRPr="00F87A13">
        <w:rPr>
          <w:rFonts w:ascii="Arial" w:hAnsi="Arial" w:cs="Arial"/>
          <w:lang w:val="en-US"/>
        </w:rPr>
        <w:t xml:space="preserve"> </w:t>
      </w:r>
      <w:r w:rsidR="006D228B">
        <w:rPr>
          <w:rFonts w:ascii="Arial" w:hAnsi="Arial" w:cs="Arial"/>
          <w:lang w:val="en-US"/>
        </w:rPr>
        <w:t>T</w:t>
      </w:r>
      <w:r>
        <w:rPr>
          <w:rFonts w:ascii="Arial" w:hAnsi="Arial" w:cs="Arial"/>
          <w:lang w:val="en-US"/>
        </w:rPr>
        <w:t xml:space="preserve">he CSCN concluded that </w:t>
      </w:r>
      <w:r w:rsidR="001170C5">
        <w:rPr>
          <w:rFonts w:ascii="Arial" w:hAnsi="Arial" w:cs="Arial"/>
          <w:lang w:val="en-US"/>
        </w:rPr>
        <w:t xml:space="preserve">the </w:t>
      </w:r>
      <w:r>
        <w:rPr>
          <w:rFonts w:ascii="Arial" w:hAnsi="Arial" w:cs="Arial"/>
          <w:lang w:val="en-US"/>
        </w:rPr>
        <w:t>former NXX number block identifier</w:t>
      </w:r>
      <w:r w:rsidR="00605A3C">
        <w:rPr>
          <w:rFonts w:ascii="Arial" w:hAnsi="Arial" w:cs="Arial"/>
          <w:lang w:val="en-US"/>
        </w:rPr>
        <w:t xml:space="preserve"> </w:t>
      </w:r>
      <w:r>
        <w:rPr>
          <w:rFonts w:ascii="Arial" w:hAnsi="Arial" w:cs="Arial"/>
          <w:lang w:val="en-US"/>
        </w:rPr>
        <w:t>could be assigned in the XXX format to make more TNs available.</w:t>
      </w:r>
    </w:p>
    <w:p w14:paraId="130B93F8" w14:textId="3569B5D4" w:rsidR="00C329D4" w:rsidRDefault="00C329D4" w:rsidP="00C329D4">
      <w:pPr>
        <w:rPr>
          <w:rFonts w:ascii="Arial" w:hAnsi="Arial" w:cs="Arial"/>
          <w:lang w:val="en-US"/>
        </w:rPr>
      </w:pPr>
      <w:r>
        <w:rPr>
          <w:rFonts w:ascii="Arial" w:hAnsi="Arial" w:cs="Arial"/>
          <w:lang w:val="en-US"/>
        </w:rPr>
        <w:t xml:space="preserve">The CSCN prefers the use of the </w:t>
      </w:r>
      <w:r w:rsidR="0096060F">
        <w:rPr>
          <w:rFonts w:ascii="Arial" w:hAnsi="Arial" w:cs="Arial"/>
          <w:lang w:val="en-US"/>
        </w:rPr>
        <w:t xml:space="preserve">XXX format in the </w:t>
      </w:r>
      <w:r>
        <w:rPr>
          <w:rFonts w:ascii="Arial" w:hAnsi="Arial" w:cs="Arial"/>
          <w:lang w:val="en-US"/>
        </w:rPr>
        <w:t xml:space="preserve">DEF </w:t>
      </w:r>
      <w:r w:rsidR="0096060F">
        <w:rPr>
          <w:rFonts w:ascii="Arial" w:hAnsi="Arial" w:cs="Arial"/>
          <w:lang w:val="en-US"/>
        </w:rPr>
        <w:t>positions</w:t>
      </w:r>
      <w:r>
        <w:rPr>
          <w:rFonts w:ascii="Arial" w:hAnsi="Arial" w:cs="Arial"/>
          <w:lang w:val="en-US"/>
        </w:rPr>
        <w:t xml:space="preserve"> for non-geographic numbers where the D-digit can be any number from 0 to 9. TNs would be assigned in the format of 1-6YY-XXX-XXXX-XXXX which would provision</w:t>
      </w:r>
      <w:r w:rsidR="00605A3C">
        <w:rPr>
          <w:rFonts w:ascii="Arial" w:hAnsi="Arial" w:cs="Arial"/>
          <w:lang w:val="en-US"/>
        </w:rPr>
        <w:t xml:space="preserve"> </w:t>
      </w:r>
      <w:r>
        <w:rPr>
          <w:rFonts w:ascii="Arial" w:hAnsi="Arial" w:cs="Arial"/>
          <w:lang w:val="en-US"/>
        </w:rPr>
        <w:t>100 billion TNs per NPA.</w:t>
      </w:r>
    </w:p>
    <w:p w14:paraId="2D727164" w14:textId="3C329C8A" w:rsidR="002060CD" w:rsidRPr="002634BA" w:rsidRDefault="002060CD" w:rsidP="00B83789">
      <w:pPr>
        <w:rPr>
          <w:rFonts w:ascii="Arial" w:hAnsi="Arial" w:cs="Arial"/>
          <w:lang w:val="en-US"/>
        </w:rPr>
      </w:pPr>
    </w:p>
    <w:p w14:paraId="22D64AA6" w14:textId="77777777" w:rsidR="00B83789" w:rsidRPr="002634BA" w:rsidRDefault="00B83789" w:rsidP="00B83789">
      <w:pPr>
        <w:rPr>
          <w:rFonts w:ascii="Arial" w:hAnsi="Arial" w:cs="Arial"/>
          <w:u w:val="single"/>
          <w:lang w:val="en-US"/>
        </w:rPr>
      </w:pPr>
      <w:r w:rsidRPr="002634BA">
        <w:rPr>
          <w:rFonts w:ascii="Arial" w:hAnsi="Arial" w:cs="Arial"/>
          <w:u w:val="single"/>
          <w:lang w:val="en-US"/>
        </w:rPr>
        <w:t>D-digit indicator</w:t>
      </w:r>
    </w:p>
    <w:p w14:paraId="207ACBE0" w14:textId="7CE572F1" w:rsidR="00B83789" w:rsidRDefault="00CB5924" w:rsidP="00B83789">
      <w:pPr>
        <w:rPr>
          <w:rFonts w:ascii="Arial" w:hAnsi="Arial" w:cs="Arial"/>
        </w:rPr>
      </w:pPr>
      <w:r>
        <w:rPr>
          <w:rFonts w:ascii="Arial" w:hAnsi="Arial" w:cs="Arial"/>
        </w:rPr>
        <w:t>N</w:t>
      </w:r>
      <w:r w:rsidR="00B83789">
        <w:rPr>
          <w:rFonts w:ascii="Arial" w:hAnsi="Arial" w:cs="Arial"/>
        </w:rPr>
        <w:t xml:space="preserve">on-geographic numbers in Canada are assigned using the 1+10-digit format of Country Code + 3-digit NPA + 3-digit NXX + 4-digit line number = 1+ABC-DEF-GHIJ. </w:t>
      </w:r>
      <w:r w:rsidR="006C0351">
        <w:rPr>
          <w:rFonts w:ascii="Arial" w:hAnsi="Arial" w:cs="Arial"/>
        </w:rPr>
        <w:t>The CSCN recommends that the</w:t>
      </w:r>
      <w:r w:rsidR="00B83789">
        <w:rPr>
          <w:rFonts w:ascii="Arial" w:hAnsi="Arial" w:cs="Arial"/>
        </w:rPr>
        <w:t xml:space="preserve"> 1+14-digit number </w:t>
      </w:r>
      <w:r w:rsidR="006C0351">
        <w:rPr>
          <w:rFonts w:ascii="Arial" w:hAnsi="Arial" w:cs="Arial"/>
        </w:rPr>
        <w:t>should</w:t>
      </w:r>
      <w:r w:rsidR="00D817A0">
        <w:rPr>
          <w:rFonts w:ascii="Arial" w:hAnsi="Arial" w:cs="Arial"/>
        </w:rPr>
        <w:t xml:space="preserve"> </w:t>
      </w:r>
      <w:r w:rsidR="00B83789">
        <w:rPr>
          <w:rFonts w:ascii="Arial" w:hAnsi="Arial" w:cs="Arial"/>
        </w:rPr>
        <w:t xml:space="preserve">be </w:t>
      </w:r>
      <w:r w:rsidR="006C0351">
        <w:rPr>
          <w:rFonts w:ascii="Arial" w:hAnsi="Arial" w:cs="Arial"/>
        </w:rPr>
        <w:t xml:space="preserve">implemented and have the format </w:t>
      </w:r>
      <w:r w:rsidR="00B83789">
        <w:rPr>
          <w:rFonts w:ascii="Arial" w:hAnsi="Arial" w:cs="Arial"/>
        </w:rPr>
        <w:t>1+ABC-DEF-GHIJ-KLMN.</w:t>
      </w:r>
    </w:p>
    <w:p w14:paraId="21EC1157" w14:textId="4999B8E1" w:rsidR="00B83789" w:rsidRDefault="00B83789" w:rsidP="00B83789">
      <w:pPr>
        <w:rPr>
          <w:rFonts w:ascii="Arial" w:hAnsi="Arial" w:cs="Arial"/>
        </w:rPr>
      </w:pPr>
      <w:r>
        <w:rPr>
          <w:rFonts w:ascii="Arial" w:hAnsi="Arial" w:cs="Arial"/>
        </w:rPr>
        <w:t>In this case, DEF represents the NXX where N is between 2 and 9 and X is any number from 0 to 9. Using a D-digit indicator of 0 or 1 would allow systems to expect a 14-digit format</w:t>
      </w:r>
      <w:r w:rsidR="00D71B4B">
        <w:rPr>
          <w:rFonts w:ascii="Arial" w:hAnsi="Arial" w:cs="Arial"/>
        </w:rPr>
        <w:t xml:space="preserve"> by just looking for a 0 or 1 in the D-digit</w:t>
      </w:r>
      <w:r>
        <w:rPr>
          <w:rFonts w:ascii="Arial" w:hAnsi="Arial" w:cs="Arial"/>
        </w:rPr>
        <w:t>.</w:t>
      </w:r>
    </w:p>
    <w:p w14:paraId="4EA10EE7" w14:textId="1289D7D7" w:rsidR="00DF72E5" w:rsidRDefault="00DF72E5" w:rsidP="00B83789">
      <w:pPr>
        <w:rPr>
          <w:rFonts w:ascii="Arial" w:hAnsi="Arial" w:cs="Arial"/>
        </w:rPr>
      </w:pPr>
      <w:r>
        <w:rPr>
          <w:rFonts w:ascii="Arial" w:hAnsi="Arial" w:cs="Arial"/>
        </w:rPr>
        <w:t xml:space="preserve">For the purposes of this D-digit analysis, </w:t>
      </w:r>
      <w:r w:rsidR="005B70E0">
        <w:rPr>
          <w:rFonts w:ascii="Arial" w:hAnsi="Arial" w:cs="Arial"/>
        </w:rPr>
        <w:t>the CSCN assumed that blocks would be assigned using the DEF digits</w:t>
      </w:r>
      <w:r w:rsidR="00346213">
        <w:rPr>
          <w:rFonts w:ascii="Arial" w:hAnsi="Arial" w:cs="Arial"/>
        </w:rPr>
        <w:t xml:space="preserve">. This would allow for </w:t>
      </w:r>
      <w:r w:rsidR="007132D0">
        <w:rPr>
          <w:rFonts w:ascii="Arial" w:hAnsi="Arial" w:cs="Arial"/>
        </w:rPr>
        <w:t>a consistent analysis between the different D-digit options. This is not meant as a recommendation on block size.</w:t>
      </w:r>
    </w:p>
    <w:p w14:paraId="0887F8B2" w14:textId="697F4441" w:rsidR="002060CD" w:rsidRPr="002634BA" w:rsidRDefault="002060CD" w:rsidP="00B83789">
      <w:pPr>
        <w:rPr>
          <w:rFonts w:ascii="Arial" w:hAnsi="Arial" w:cs="Arial"/>
          <w:lang w:val="en-US"/>
        </w:rPr>
      </w:pPr>
    </w:p>
    <w:p w14:paraId="7861FC96" w14:textId="4F175C59" w:rsidR="00B83789" w:rsidRPr="00B1506F" w:rsidRDefault="00885A1C" w:rsidP="00A535D6">
      <w:pPr>
        <w:keepNext/>
        <w:ind w:left="720"/>
        <w:rPr>
          <w:u w:val="single"/>
        </w:rPr>
      </w:pPr>
      <w:r>
        <w:rPr>
          <w:u w:val="single"/>
        </w:rPr>
        <w:t xml:space="preserve">Table 1: </w:t>
      </w:r>
      <w:r w:rsidR="00B83789" w:rsidRPr="00B1506F">
        <w:rPr>
          <w:u w:val="single"/>
        </w:rPr>
        <w:t>Implementation of 14 digits with a D-Digit indicator:</w:t>
      </w:r>
    </w:p>
    <w:tbl>
      <w:tblPr>
        <w:tblStyle w:val="TableGrid"/>
        <w:tblW w:w="0" w:type="auto"/>
        <w:jc w:val="center"/>
        <w:tblLook w:val="04A0" w:firstRow="1" w:lastRow="0" w:firstColumn="1" w:lastColumn="0" w:noHBand="0" w:noVBand="1"/>
      </w:tblPr>
      <w:tblGrid>
        <w:gridCol w:w="1093"/>
        <w:gridCol w:w="1120"/>
        <w:gridCol w:w="1126"/>
        <w:gridCol w:w="935"/>
        <w:gridCol w:w="1170"/>
        <w:gridCol w:w="1440"/>
        <w:gridCol w:w="1746"/>
      </w:tblGrid>
      <w:tr w:rsidR="00551428" w14:paraId="1466E2E4" w14:textId="77777777" w:rsidTr="002060CD">
        <w:trPr>
          <w:jc w:val="center"/>
        </w:trPr>
        <w:tc>
          <w:tcPr>
            <w:tcW w:w="1093" w:type="dxa"/>
          </w:tcPr>
          <w:p w14:paraId="6223F95B" w14:textId="1BC3747B" w:rsidR="00B83789" w:rsidRDefault="00B83789" w:rsidP="00A535D6">
            <w:pPr>
              <w:keepNext/>
              <w:rPr>
                <w:rFonts w:ascii="Arial" w:hAnsi="Arial" w:cs="Arial"/>
              </w:rPr>
            </w:pPr>
            <w:r>
              <w:rPr>
                <w:rFonts w:ascii="Arial" w:hAnsi="Arial" w:cs="Arial"/>
              </w:rPr>
              <w:t>NPA</w:t>
            </w:r>
          </w:p>
        </w:tc>
        <w:tc>
          <w:tcPr>
            <w:tcW w:w="1120" w:type="dxa"/>
          </w:tcPr>
          <w:p w14:paraId="1922036F" w14:textId="3CC71F31" w:rsidR="00B83789" w:rsidRDefault="00B83789" w:rsidP="00A535D6">
            <w:pPr>
              <w:keepNext/>
              <w:rPr>
                <w:rFonts w:ascii="Arial" w:hAnsi="Arial" w:cs="Arial"/>
              </w:rPr>
            </w:pPr>
            <w:r>
              <w:rPr>
                <w:rFonts w:ascii="Arial" w:hAnsi="Arial" w:cs="Arial"/>
              </w:rPr>
              <w:t>CO code block start</w:t>
            </w:r>
          </w:p>
        </w:tc>
        <w:tc>
          <w:tcPr>
            <w:tcW w:w="1126" w:type="dxa"/>
          </w:tcPr>
          <w:p w14:paraId="48EA77F7" w14:textId="4BA82D00" w:rsidR="00B83789" w:rsidRDefault="00B83789" w:rsidP="00A535D6">
            <w:pPr>
              <w:keepNext/>
              <w:rPr>
                <w:rFonts w:ascii="Arial" w:hAnsi="Arial" w:cs="Arial"/>
              </w:rPr>
            </w:pPr>
            <w:r>
              <w:rPr>
                <w:rFonts w:ascii="Arial" w:hAnsi="Arial" w:cs="Arial"/>
              </w:rPr>
              <w:t>CO Code block end</w:t>
            </w:r>
          </w:p>
        </w:tc>
        <w:tc>
          <w:tcPr>
            <w:tcW w:w="935" w:type="dxa"/>
          </w:tcPr>
          <w:p w14:paraId="660912DF" w14:textId="7AEA8CEB" w:rsidR="00B83789" w:rsidRDefault="00B83789" w:rsidP="00A535D6">
            <w:pPr>
              <w:keepNext/>
              <w:rPr>
                <w:rFonts w:ascii="Arial" w:hAnsi="Arial" w:cs="Arial"/>
              </w:rPr>
            </w:pPr>
            <w:r>
              <w:rPr>
                <w:rFonts w:ascii="Arial" w:hAnsi="Arial" w:cs="Arial"/>
              </w:rPr>
              <w:t># of digits</w:t>
            </w:r>
          </w:p>
        </w:tc>
        <w:tc>
          <w:tcPr>
            <w:tcW w:w="1170" w:type="dxa"/>
          </w:tcPr>
          <w:p w14:paraId="0525F48B" w14:textId="4506CCB2" w:rsidR="00B83789" w:rsidRDefault="00B83789" w:rsidP="00A535D6">
            <w:pPr>
              <w:keepNext/>
              <w:rPr>
                <w:rFonts w:ascii="Arial" w:hAnsi="Arial" w:cs="Arial"/>
              </w:rPr>
            </w:pPr>
            <w:r>
              <w:rPr>
                <w:rFonts w:ascii="Arial" w:hAnsi="Arial" w:cs="Arial"/>
              </w:rPr>
              <w:t># of blocks</w:t>
            </w:r>
          </w:p>
        </w:tc>
        <w:tc>
          <w:tcPr>
            <w:tcW w:w="1440" w:type="dxa"/>
          </w:tcPr>
          <w:p w14:paraId="1C2331D2" w14:textId="421297DF" w:rsidR="00B83789" w:rsidRDefault="00B83789" w:rsidP="00A535D6">
            <w:pPr>
              <w:keepNext/>
              <w:rPr>
                <w:rFonts w:ascii="Arial" w:hAnsi="Arial" w:cs="Arial"/>
              </w:rPr>
            </w:pPr>
            <w:r>
              <w:rPr>
                <w:rFonts w:ascii="Arial" w:hAnsi="Arial" w:cs="Arial"/>
              </w:rPr>
              <w:t># of TNs per block</w:t>
            </w:r>
          </w:p>
        </w:tc>
        <w:tc>
          <w:tcPr>
            <w:tcW w:w="1746" w:type="dxa"/>
          </w:tcPr>
          <w:p w14:paraId="0D3AF70B" w14:textId="1AF42DB5" w:rsidR="00B83789" w:rsidRDefault="00B83789" w:rsidP="00A535D6">
            <w:pPr>
              <w:keepNext/>
              <w:rPr>
                <w:rFonts w:ascii="Arial" w:hAnsi="Arial" w:cs="Arial"/>
              </w:rPr>
            </w:pPr>
            <w:r>
              <w:rPr>
                <w:rFonts w:ascii="Arial" w:hAnsi="Arial" w:cs="Arial"/>
              </w:rPr>
              <w:t>Total # of TNs in the NPA</w:t>
            </w:r>
          </w:p>
        </w:tc>
      </w:tr>
      <w:tr w:rsidR="00551428" w14:paraId="19009E6E" w14:textId="77777777" w:rsidTr="002060CD">
        <w:trPr>
          <w:jc w:val="center"/>
        </w:trPr>
        <w:tc>
          <w:tcPr>
            <w:tcW w:w="1093" w:type="dxa"/>
          </w:tcPr>
          <w:p w14:paraId="48B30F47" w14:textId="15EE0132" w:rsidR="00B83789" w:rsidRDefault="00B83789" w:rsidP="00A535D6">
            <w:pPr>
              <w:keepNext/>
              <w:rPr>
                <w:rFonts w:ascii="Arial" w:hAnsi="Arial" w:cs="Arial"/>
              </w:rPr>
            </w:pPr>
            <w:r>
              <w:rPr>
                <w:rFonts w:ascii="Arial" w:hAnsi="Arial" w:cs="Arial"/>
              </w:rPr>
              <w:t>677</w:t>
            </w:r>
          </w:p>
        </w:tc>
        <w:tc>
          <w:tcPr>
            <w:tcW w:w="1120" w:type="dxa"/>
          </w:tcPr>
          <w:p w14:paraId="185E02C4" w14:textId="1EFDF403" w:rsidR="00B83789" w:rsidRDefault="00B83789" w:rsidP="00A535D6">
            <w:pPr>
              <w:keepNext/>
              <w:rPr>
                <w:rFonts w:ascii="Arial" w:hAnsi="Arial" w:cs="Arial"/>
              </w:rPr>
            </w:pPr>
            <w:r>
              <w:rPr>
                <w:rFonts w:ascii="Arial" w:hAnsi="Arial" w:cs="Arial"/>
              </w:rPr>
              <w:t>000</w:t>
            </w:r>
          </w:p>
        </w:tc>
        <w:tc>
          <w:tcPr>
            <w:tcW w:w="1126" w:type="dxa"/>
          </w:tcPr>
          <w:p w14:paraId="699CE939" w14:textId="40EDB029" w:rsidR="00B83789" w:rsidRDefault="00B83789" w:rsidP="00A535D6">
            <w:pPr>
              <w:keepNext/>
              <w:rPr>
                <w:rFonts w:ascii="Arial" w:hAnsi="Arial" w:cs="Arial"/>
              </w:rPr>
            </w:pPr>
            <w:r>
              <w:rPr>
                <w:rFonts w:ascii="Arial" w:hAnsi="Arial" w:cs="Arial"/>
              </w:rPr>
              <w:t>199</w:t>
            </w:r>
          </w:p>
        </w:tc>
        <w:tc>
          <w:tcPr>
            <w:tcW w:w="935" w:type="dxa"/>
          </w:tcPr>
          <w:p w14:paraId="43AC2F9C" w14:textId="05671599" w:rsidR="00B83789" w:rsidRDefault="00B83789" w:rsidP="00A535D6">
            <w:pPr>
              <w:keepNext/>
              <w:rPr>
                <w:rFonts w:ascii="Arial" w:hAnsi="Arial" w:cs="Arial"/>
              </w:rPr>
            </w:pPr>
            <w:r>
              <w:rPr>
                <w:rFonts w:ascii="Arial" w:hAnsi="Arial" w:cs="Arial"/>
              </w:rPr>
              <w:t>1+14</w:t>
            </w:r>
          </w:p>
        </w:tc>
        <w:tc>
          <w:tcPr>
            <w:tcW w:w="1170" w:type="dxa"/>
          </w:tcPr>
          <w:p w14:paraId="3FAB4FD6" w14:textId="43E4104B" w:rsidR="00B83789" w:rsidRDefault="00B83789" w:rsidP="00A535D6">
            <w:pPr>
              <w:keepNext/>
              <w:rPr>
                <w:rFonts w:ascii="Arial" w:hAnsi="Arial" w:cs="Arial"/>
              </w:rPr>
            </w:pPr>
            <w:r>
              <w:rPr>
                <w:rFonts w:ascii="Arial" w:hAnsi="Arial" w:cs="Arial"/>
              </w:rPr>
              <w:t>200</w:t>
            </w:r>
          </w:p>
        </w:tc>
        <w:tc>
          <w:tcPr>
            <w:tcW w:w="1440" w:type="dxa"/>
          </w:tcPr>
          <w:p w14:paraId="2A228841" w14:textId="25BEB5C9" w:rsidR="00B83789" w:rsidRDefault="00B83789" w:rsidP="00A535D6">
            <w:pPr>
              <w:keepNext/>
              <w:rPr>
                <w:rFonts w:ascii="Arial" w:hAnsi="Arial" w:cs="Arial"/>
              </w:rPr>
            </w:pPr>
            <w:r>
              <w:rPr>
                <w:rFonts w:ascii="Arial" w:hAnsi="Arial" w:cs="Arial"/>
              </w:rPr>
              <w:t>100,000,000</w:t>
            </w:r>
          </w:p>
        </w:tc>
        <w:tc>
          <w:tcPr>
            <w:tcW w:w="1746" w:type="dxa"/>
          </w:tcPr>
          <w:p w14:paraId="09D1F258" w14:textId="4FF7ACA2" w:rsidR="00B83789" w:rsidRDefault="00B83789" w:rsidP="00A535D6">
            <w:pPr>
              <w:keepNext/>
              <w:rPr>
                <w:rFonts w:ascii="Arial" w:hAnsi="Arial" w:cs="Arial"/>
              </w:rPr>
            </w:pPr>
            <w:r>
              <w:rPr>
                <w:rFonts w:ascii="Arial" w:hAnsi="Arial" w:cs="Arial"/>
              </w:rPr>
              <w:t>20,000,000,000</w:t>
            </w:r>
          </w:p>
        </w:tc>
      </w:tr>
    </w:tbl>
    <w:p w14:paraId="0606556B" w14:textId="07ED617A" w:rsidR="00B83789" w:rsidRDefault="00B83789" w:rsidP="002634BA">
      <w:pPr>
        <w:ind w:left="720"/>
        <w:rPr>
          <w:rFonts w:ascii="Arial" w:hAnsi="Arial" w:cs="Arial"/>
        </w:rPr>
      </w:pPr>
    </w:p>
    <w:p w14:paraId="3C07A477" w14:textId="14D41E4C" w:rsidR="00B83789" w:rsidRPr="00B1506F" w:rsidRDefault="00885A1C" w:rsidP="002634BA">
      <w:pPr>
        <w:ind w:left="720"/>
        <w:rPr>
          <w:u w:val="single"/>
        </w:rPr>
      </w:pPr>
      <w:r>
        <w:rPr>
          <w:u w:val="single"/>
        </w:rPr>
        <w:lastRenderedPageBreak/>
        <w:t xml:space="preserve">Table 2: </w:t>
      </w:r>
      <w:r w:rsidR="00B83789" w:rsidRPr="00B1506F">
        <w:rPr>
          <w:u w:val="single"/>
        </w:rPr>
        <w:t>Implementation of 14 digits without a D-Digit indicator using NXX format (6YY-NXX):</w:t>
      </w:r>
    </w:p>
    <w:tbl>
      <w:tblPr>
        <w:tblStyle w:val="TableGrid"/>
        <w:tblW w:w="0" w:type="auto"/>
        <w:jc w:val="center"/>
        <w:tblLook w:val="04A0" w:firstRow="1" w:lastRow="0" w:firstColumn="1" w:lastColumn="0" w:noHBand="0" w:noVBand="1"/>
      </w:tblPr>
      <w:tblGrid>
        <w:gridCol w:w="1093"/>
        <w:gridCol w:w="1120"/>
        <w:gridCol w:w="1126"/>
        <w:gridCol w:w="935"/>
        <w:gridCol w:w="1170"/>
        <w:gridCol w:w="1440"/>
        <w:gridCol w:w="1746"/>
      </w:tblGrid>
      <w:tr w:rsidR="00551428" w14:paraId="21021831" w14:textId="77777777" w:rsidTr="002060CD">
        <w:trPr>
          <w:jc w:val="center"/>
        </w:trPr>
        <w:tc>
          <w:tcPr>
            <w:tcW w:w="1093" w:type="dxa"/>
          </w:tcPr>
          <w:p w14:paraId="0C3D44B9" w14:textId="77777777" w:rsidR="00B83789" w:rsidRDefault="00B83789">
            <w:pPr>
              <w:rPr>
                <w:rFonts w:ascii="Arial" w:hAnsi="Arial" w:cs="Arial"/>
              </w:rPr>
            </w:pPr>
            <w:r>
              <w:rPr>
                <w:rFonts w:ascii="Arial" w:hAnsi="Arial" w:cs="Arial"/>
              </w:rPr>
              <w:t>NPA</w:t>
            </w:r>
          </w:p>
        </w:tc>
        <w:tc>
          <w:tcPr>
            <w:tcW w:w="1120" w:type="dxa"/>
          </w:tcPr>
          <w:p w14:paraId="2582185E" w14:textId="77777777" w:rsidR="00B83789" w:rsidRDefault="00B83789">
            <w:pPr>
              <w:rPr>
                <w:rFonts w:ascii="Arial" w:hAnsi="Arial" w:cs="Arial"/>
              </w:rPr>
            </w:pPr>
            <w:r>
              <w:rPr>
                <w:rFonts w:ascii="Arial" w:hAnsi="Arial" w:cs="Arial"/>
              </w:rPr>
              <w:t>CO code block start</w:t>
            </w:r>
          </w:p>
        </w:tc>
        <w:tc>
          <w:tcPr>
            <w:tcW w:w="1126" w:type="dxa"/>
          </w:tcPr>
          <w:p w14:paraId="0AED999B" w14:textId="77777777" w:rsidR="00B83789" w:rsidRDefault="00B83789">
            <w:pPr>
              <w:rPr>
                <w:rFonts w:ascii="Arial" w:hAnsi="Arial" w:cs="Arial"/>
              </w:rPr>
            </w:pPr>
            <w:r>
              <w:rPr>
                <w:rFonts w:ascii="Arial" w:hAnsi="Arial" w:cs="Arial"/>
              </w:rPr>
              <w:t>CO Code block end</w:t>
            </w:r>
          </w:p>
        </w:tc>
        <w:tc>
          <w:tcPr>
            <w:tcW w:w="935" w:type="dxa"/>
          </w:tcPr>
          <w:p w14:paraId="582A7F69" w14:textId="77777777" w:rsidR="00B83789" w:rsidRDefault="00B83789">
            <w:pPr>
              <w:rPr>
                <w:rFonts w:ascii="Arial" w:hAnsi="Arial" w:cs="Arial"/>
              </w:rPr>
            </w:pPr>
            <w:r>
              <w:rPr>
                <w:rFonts w:ascii="Arial" w:hAnsi="Arial" w:cs="Arial"/>
              </w:rPr>
              <w:t># of digits</w:t>
            </w:r>
          </w:p>
        </w:tc>
        <w:tc>
          <w:tcPr>
            <w:tcW w:w="1170" w:type="dxa"/>
          </w:tcPr>
          <w:p w14:paraId="7166D082" w14:textId="77777777" w:rsidR="00B83789" w:rsidRDefault="00B83789">
            <w:pPr>
              <w:rPr>
                <w:rFonts w:ascii="Arial" w:hAnsi="Arial" w:cs="Arial"/>
              </w:rPr>
            </w:pPr>
            <w:r>
              <w:rPr>
                <w:rFonts w:ascii="Arial" w:hAnsi="Arial" w:cs="Arial"/>
              </w:rPr>
              <w:t># of blocks</w:t>
            </w:r>
          </w:p>
        </w:tc>
        <w:tc>
          <w:tcPr>
            <w:tcW w:w="1440" w:type="dxa"/>
          </w:tcPr>
          <w:p w14:paraId="105A049D" w14:textId="77777777" w:rsidR="00B83789" w:rsidRDefault="00B83789">
            <w:pPr>
              <w:rPr>
                <w:rFonts w:ascii="Arial" w:hAnsi="Arial" w:cs="Arial"/>
              </w:rPr>
            </w:pPr>
            <w:r>
              <w:rPr>
                <w:rFonts w:ascii="Arial" w:hAnsi="Arial" w:cs="Arial"/>
              </w:rPr>
              <w:t># of TNs per block</w:t>
            </w:r>
          </w:p>
        </w:tc>
        <w:tc>
          <w:tcPr>
            <w:tcW w:w="1746" w:type="dxa"/>
          </w:tcPr>
          <w:p w14:paraId="686FB866" w14:textId="77777777" w:rsidR="00B83789" w:rsidRDefault="00B83789">
            <w:pPr>
              <w:rPr>
                <w:rFonts w:ascii="Arial" w:hAnsi="Arial" w:cs="Arial"/>
              </w:rPr>
            </w:pPr>
            <w:r>
              <w:rPr>
                <w:rFonts w:ascii="Arial" w:hAnsi="Arial" w:cs="Arial"/>
              </w:rPr>
              <w:t>Total # of TNs in the NPA</w:t>
            </w:r>
          </w:p>
        </w:tc>
      </w:tr>
      <w:tr w:rsidR="00551428" w14:paraId="067AC166" w14:textId="77777777" w:rsidTr="002060CD">
        <w:trPr>
          <w:jc w:val="center"/>
        </w:trPr>
        <w:tc>
          <w:tcPr>
            <w:tcW w:w="1093" w:type="dxa"/>
          </w:tcPr>
          <w:p w14:paraId="6866E24B" w14:textId="77777777" w:rsidR="00B83789" w:rsidRDefault="00B83789">
            <w:pPr>
              <w:rPr>
                <w:rFonts w:ascii="Arial" w:hAnsi="Arial" w:cs="Arial"/>
              </w:rPr>
            </w:pPr>
            <w:r>
              <w:rPr>
                <w:rFonts w:ascii="Arial" w:hAnsi="Arial" w:cs="Arial"/>
              </w:rPr>
              <w:t>677</w:t>
            </w:r>
          </w:p>
        </w:tc>
        <w:tc>
          <w:tcPr>
            <w:tcW w:w="1120" w:type="dxa"/>
          </w:tcPr>
          <w:p w14:paraId="4E0456EC" w14:textId="77777777" w:rsidR="00B83789" w:rsidRDefault="00B83789">
            <w:pPr>
              <w:rPr>
                <w:rFonts w:ascii="Arial" w:hAnsi="Arial" w:cs="Arial"/>
              </w:rPr>
            </w:pPr>
            <w:r>
              <w:rPr>
                <w:rFonts w:ascii="Arial" w:hAnsi="Arial" w:cs="Arial"/>
              </w:rPr>
              <w:t>200</w:t>
            </w:r>
          </w:p>
        </w:tc>
        <w:tc>
          <w:tcPr>
            <w:tcW w:w="1126" w:type="dxa"/>
          </w:tcPr>
          <w:p w14:paraId="1787895B" w14:textId="77777777" w:rsidR="00B83789" w:rsidRDefault="00B83789">
            <w:pPr>
              <w:rPr>
                <w:rFonts w:ascii="Arial" w:hAnsi="Arial" w:cs="Arial"/>
              </w:rPr>
            </w:pPr>
            <w:r>
              <w:rPr>
                <w:rFonts w:ascii="Arial" w:hAnsi="Arial" w:cs="Arial"/>
              </w:rPr>
              <w:t>999</w:t>
            </w:r>
          </w:p>
        </w:tc>
        <w:tc>
          <w:tcPr>
            <w:tcW w:w="935" w:type="dxa"/>
          </w:tcPr>
          <w:p w14:paraId="45AD37EF" w14:textId="77777777" w:rsidR="00B83789" w:rsidRDefault="00B83789">
            <w:pPr>
              <w:rPr>
                <w:rFonts w:ascii="Arial" w:hAnsi="Arial" w:cs="Arial"/>
              </w:rPr>
            </w:pPr>
            <w:r>
              <w:rPr>
                <w:rFonts w:ascii="Arial" w:hAnsi="Arial" w:cs="Arial"/>
              </w:rPr>
              <w:t>1+14</w:t>
            </w:r>
          </w:p>
        </w:tc>
        <w:tc>
          <w:tcPr>
            <w:tcW w:w="1170" w:type="dxa"/>
          </w:tcPr>
          <w:p w14:paraId="2147976E" w14:textId="77777777" w:rsidR="00B83789" w:rsidRDefault="00B83789">
            <w:pPr>
              <w:rPr>
                <w:rFonts w:ascii="Arial" w:hAnsi="Arial" w:cs="Arial"/>
              </w:rPr>
            </w:pPr>
            <w:r>
              <w:rPr>
                <w:rFonts w:ascii="Arial" w:hAnsi="Arial" w:cs="Arial"/>
              </w:rPr>
              <w:t>800</w:t>
            </w:r>
          </w:p>
        </w:tc>
        <w:tc>
          <w:tcPr>
            <w:tcW w:w="1440" w:type="dxa"/>
          </w:tcPr>
          <w:p w14:paraId="52891500" w14:textId="77777777" w:rsidR="00B83789" w:rsidRDefault="00B83789">
            <w:pPr>
              <w:rPr>
                <w:rFonts w:ascii="Arial" w:hAnsi="Arial" w:cs="Arial"/>
              </w:rPr>
            </w:pPr>
            <w:r>
              <w:rPr>
                <w:rFonts w:ascii="Arial" w:hAnsi="Arial" w:cs="Arial"/>
              </w:rPr>
              <w:t>100,000,000</w:t>
            </w:r>
          </w:p>
        </w:tc>
        <w:tc>
          <w:tcPr>
            <w:tcW w:w="1746" w:type="dxa"/>
          </w:tcPr>
          <w:p w14:paraId="6FF78A1F" w14:textId="77777777" w:rsidR="00B83789" w:rsidRDefault="00B83789">
            <w:pPr>
              <w:rPr>
                <w:rFonts w:ascii="Arial" w:hAnsi="Arial" w:cs="Arial"/>
              </w:rPr>
            </w:pPr>
            <w:r>
              <w:rPr>
                <w:rFonts w:ascii="Arial" w:hAnsi="Arial" w:cs="Arial"/>
              </w:rPr>
              <w:t>80,000,000,000</w:t>
            </w:r>
          </w:p>
        </w:tc>
      </w:tr>
    </w:tbl>
    <w:p w14:paraId="2E5A1C87" w14:textId="77777777" w:rsidR="00B83789" w:rsidRDefault="00B83789" w:rsidP="002634BA">
      <w:pPr>
        <w:ind w:left="720"/>
        <w:rPr>
          <w:rFonts w:ascii="Arial" w:hAnsi="Arial" w:cs="Arial"/>
        </w:rPr>
      </w:pPr>
    </w:p>
    <w:p w14:paraId="520542E7" w14:textId="559E6623" w:rsidR="00B83789" w:rsidRPr="00B1506F" w:rsidRDefault="00885A1C" w:rsidP="002634BA">
      <w:pPr>
        <w:ind w:left="720"/>
        <w:rPr>
          <w:u w:val="single"/>
        </w:rPr>
      </w:pPr>
      <w:r>
        <w:rPr>
          <w:u w:val="single"/>
        </w:rPr>
        <w:t xml:space="preserve">Table 3: </w:t>
      </w:r>
      <w:r w:rsidR="00B83789" w:rsidRPr="00B1506F">
        <w:rPr>
          <w:u w:val="single"/>
        </w:rPr>
        <w:t>Implementation of 14 digits without a D-Digit indicator using XXX format (6YY-XXX):</w:t>
      </w:r>
    </w:p>
    <w:tbl>
      <w:tblPr>
        <w:tblStyle w:val="TableGrid"/>
        <w:tblW w:w="8752" w:type="dxa"/>
        <w:jc w:val="center"/>
        <w:tblLook w:val="04A0" w:firstRow="1" w:lastRow="0" w:firstColumn="1" w:lastColumn="0" w:noHBand="0" w:noVBand="1"/>
      </w:tblPr>
      <w:tblGrid>
        <w:gridCol w:w="1093"/>
        <w:gridCol w:w="1120"/>
        <w:gridCol w:w="1126"/>
        <w:gridCol w:w="935"/>
        <w:gridCol w:w="1170"/>
        <w:gridCol w:w="1440"/>
        <w:gridCol w:w="1868"/>
      </w:tblGrid>
      <w:tr w:rsidR="00551428" w14:paraId="770E1F80" w14:textId="77777777" w:rsidTr="002060CD">
        <w:trPr>
          <w:jc w:val="center"/>
        </w:trPr>
        <w:tc>
          <w:tcPr>
            <w:tcW w:w="1093" w:type="dxa"/>
          </w:tcPr>
          <w:p w14:paraId="2EE48C48" w14:textId="77777777" w:rsidR="00B83789" w:rsidRDefault="00B83789">
            <w:pPr>
              <w:rPr>
                <w:rFonts w:ascii="Arial" w:hAnsi="Arial" w:cs="Arial"/>
              </w:rPr>
            </w:pPr>
            <w:r>
              <w:rPr>
                <w:rFonts w:ascii="Arial" w:hAnsi="Arial" w:cs="Arial"/>
              </w:rPr>
              <w:t>NPA</w:t>
            </w:r>
          </w:p>
        </w:tc>
        <w:tc>
          <w:tcPr>
            <w:tcW w:w="1120" w:type="dxa"/>
          </w:tcPr>
          <w:p w14:paraId="10E6835F" w14:textId="77777777" w:rsidR="00B83789" w:rsidRDefault="00B83789">
            <w:pPr>
              <w:rPr>
                <w:rFonts w:ascii="Arial" w:hAnsi="Arial" w:cs="Arial"/>
              </w:rPr>
            </w:pPr>
            <w:r>
              <w:rPr>
                <w:rFonts w:ascii="Arial" w:hAnsi="Arial" w:cs="Arial"/>
              </w:rPr>
              <w:t>CO code block start</w:t>
            </w:r>
          </w:p>
        </w:tc>
        <w:tc>
          <w:tcPr>
            <w:tcW w:w="1126" w:type="dxa"/>
          </w:tcPr>
          <w:p w14:paraId="764A857C" w14:textId="77777777" w:rsidR="00B83789" w:rsidRDefault="00B83789">
            <w:pPr>
              <w:rPr>
                <w:rFonts w:ascii="Arial" w:hAnsi="Arial" w:cs="Arial"/>
              </w:rPr>
            </w:pPr>
            <w:r>
              <w:rPr>
                <w:rFonts w:ascii="Arial" w:hAnsi="Arial" w:cs="Arial"/>
              </w:rPr>
              <w:t>CO Code block end</w:t>
            </w:r>
          </w:p>
        </w:tc>
        <w:tc>
          <w:tcPr>
            <w:tcW w:w="935" w:type="dxa"/>
          </w:tcPr>
          <w:p w14:paraId="23EFEC2C" w14:textId="77777777" w:rsidR="00B83789" w:rsidRDefault="00B83789">
            <w:pPr>
              <w:rPr>
                <w:rFonts w:ascii="Arial" w:hAnsi="Arial" w:cs="Arial"/>
              </w:rPr>
            </w:pPr>
            <w:r>
              <w:rPr>
                <w:rFonts w:ascii="Arial" w:hAnsi="Arial" w:cs="Arial"/>
              </w:rPr>
              <w:t># of digits</w:t>
            </w:r>
          </w:p>
        </w:tc>
        <w:tc>
          <w:tcPr>
            <w:tcW w:w="1170" w:type="dxa"/>
          </w:tcPr>
          <w:p w14:paraId="46440CDB" w14:textId="77777777" w:rsidR="00B83789" w:rsidRDefault="00B83789">
            <w:pPr>
              <w:rPr>
                <w:rFonts w:ascii="Arial" w:hAnsi="Arial" w:cs="Arial"/>
              </w:rPr>
            </w:pPr>
            <w:r>
              <w:rPr>
                <w:rFonts w:ascii="Arial" w:hAnsi="Arial" w:cs="Arial"/>
              </w:rPr>
              <w:t># of blocks</w:t>
            </w:r>
          </w:p>
        </w:tc>
        <w:tc>
          <w:tcPr>
            <w:tcW w:w="1440" w:type="dxa"/>
          </w:tcPr>
          <w:p w14:paraId="3BAE023A" w14:textId="77777777" w:rsidR="00B83789" w:rsidRDefault="00B83789">
            <w:pPr>
              <w:rPr>
                <w:rFonts w:ascii="Arial" w:hAnsi="Arial" w:cs="Arial"/>
              </w:rPr>
            </w:pPr>
            <w:r>
              <w:rPr>
                <w:rFonts w:ascii="Arial" w:hAnsi="Arial" w:cs="Arial"/>
              </w:rPr>
              <w:t># of TNs per block</w:t>
            </w:r>
          </w:p>
        </w:tc>
        <w:tc>
          <w:tcPr>
            <w:tcW w:w="1868" w:type="dxa"/>
          </w:tcPr>
          <w:p w14:paraId="1D984EA7" w14:textId="77777777" w:rsidR="00B83789" w:rsidRDefault="00B83789">
            <w:pPr>
              <w:rPr>
                <w:rFonts w:ascii="Arial" w:hAnsi="Arial" w:cs="Arial"/>
              </w:rPr>
            </w:pPr>
            <w:r>
              <w:rPr>
                <w:rFonts w:ascii="Arial" w:hAnsi="Arial" w:cs="Arial"/>
              </w:rPr>
              <w:t>Total # of TNs in the NPA</w:t>
            </w:r>
          </w:p>
        </w:tc>
      </w:tr>
      <w:tr w:rsidR="00551428" w14:paraId="093E2B50" w14:textId="77777777" w:rsidTr="002060CD">
        <w:trPr>
          <w:jc w:val="center"/>
        </w:trPr>
        <w:tc>
          <w:tcPr>
            <w:tcW w:w="1093" w:type="dxa"/>
          </w:tcPr>
          <w:p w14:paraId="73DB7299" w14:textId="77777777" w:rsidR="00B83789" w:rsidRDefault="00B83789">
            <w:pPr>
              <w:rPr>
                <w:rFonts w:ascii="Arial" w:hAnsi="Arial" w:cs="Arial"/>
              </w:rPr>
            </w:pPr>
            <w:r>
              <w:rPr>
                <w:rFonts w:ascii="Arial" w:hAnsi="Arial" w:cs="Arial"/>
              </w:rPr>
              <w:t>677</w:t>
            </w:r>
          </w:p>
        </w:tc>
        <w:tc>
          <w:tcPr>
            <w:tcW w:w="1120" w:type="dxa"/>
          </w:tcPr>
          <w:p w14:paraId="44C85696" w14:textId="77777777" w:rsidR="00B83789" w:rsidRDefault="00B83789">
            <w:pPr>
              <w:rPr>
                <w:rFonts w:ascii="Arial" w:hAnsi="Arial" w:cs="Arial"/>
              </w:rPr>
            </w:pPr>
            <w:r>
              <w:rPr>
                <w:rFonts w:ascii="Arial" w:hAnsi="Arial" w:cs="Arial"/>
              </w:rPr>
              <w:t>000</w:t>
            </w:r>
          </w:p>
        </w:tc>
        <w:tc>
          <w:tcPr>
            <w:tcW w:w="1126" w:type="dxa"/>
          </w:tcPr>
          <w:p w14:paraId="54AE8DD6" w14:textId="77777777" w:rsidR="00B83789" w:rsidRDefault="00B83789">
            <w:pPr>
              <w:rPr>
                <w:rFonts w:ascii="Arial" w:hAnsi="Arial" w:cs="Arial"/>
              </w:rPr>
            </w:pPr>
            <w:r>
              <w:rPr>
                <w:rFonts w:ascii="Arial" w:hAnsi="Arial" w:cs="Arial"/>
              </w:rPr>
              <w:t>999</w:t>
            </w:r>
          </w:p>
        </w:tc>
        <w:tc>
          <w:tcPr>
            <w:tcW w:w="935" w:type="dxa"/>
          </w:tcPr>
          <w:p w14:paraId="4784204F" w14:textId="77777777" w:rsidR="00B83789" w:rsidRDefault="00B83789">
            <w:pPr>
              <w:rPr>
                <w:rFonts w:ascii="Arial" w:hAnsi="Arial" w:cs="Arial"/>
              </w:rPr>
            </w:pPr>
            <w:r>
              <w:rPr>
                <w:rFonts w:ascii="Arial" w:hAnsi="Arial" w:cs="Arial"/>
              </w:rPr>
              <w:t>1+14</w:t>
            </w:r>
          </w:p>
        </w:tc>
        <w:tc>
          <w:tcPr>
            <w:tcW w:w="1170" w:type="dxa"/>
          </w:tcPr>
          <w:p w14:paraId="32D8612C" w14:textId="77777777" w:rsidR="00B83789" w:rsidRDefault="00B83789">
            <w:pPr>
              <w:rPr>
                <w:rFonts w:ascii="Arial" w:hAnsi="Arial" w:cs="Arial"/>
              </w:rPr>
            </w:pPr>
            <w:r>
              <w:rPr>
                <w:rFonts w:ascii="Arial" w:hAnsi="Arial" w:cs="Arial"/>
              </w:rPr>
              <w:t>1,000</w:t>
            </w:r>
          </w:p>
        </w:tc>
        <w:tc>
          <w:tcPr>
            <w:tcW w:w="1440" w:type="dxa"/>
          </w:tcPr>
          <w:p w14:paraId="3214B318" w14:textId="77777777" w:rsidR="00B83789" w:rsidRDefault="00B83789">
            <w:pPr>
              <w:rPr>
                <w:rFonts w:ascii="Arial" w:hAnsi="Arial" w:cs="Arial"/>
              </w:rPr>
            </w:pPr>
            <w:r>
              <w:rPr>
                <w:rFonts w:ascii="Arial" w:hAnsi="Arial" w:cs="Arial"/>
              </w:rPr>
              <w:t>100,000,000</w:t>
            </w:r>
          </w:p>
        </w:tc>
        <w:tc>
          <w:tcPr>
            <w:tcW w:w="1868" w:type="dxa"/>
          </w:tcPr>
          <w:p w14:paraId="5F277EF3" w14:textId="77777777" w:rsidR="00B83789" w:rsidRDefault="00B83789">
            <w:pPr>
              <w:rPr>
                <w:rFonts w:ascii="Arial" w:hAnsi="Arial" w:cs="Arial"/>
              </w:rPr>
            </w:pPr>
            <w:r>
              <w:rPr>
                <w:rFonts w:ascii="Arial" w:hAnsi="Arial" w:cs="Arial"/>
              </w:rPr>
              <w:t>100,000,000,000</w:t>
            </w:r>
          </w:p>
        </w:tc>
      </w:tr>
    </w:tbl>
    <w:p w14:paraId="31105948" w14:textId="77777777" w:rsidR="00B83789" w:rsidRDefault="00B83789" w:rsidP="002634BA">
      <w:pPr>
        <w:ind w:left="1440"/>
        <w:rPr>
          <w:rFonts w:ascii="Arial" w:hAnsi="Arial" w:cs="Arial"/>
        </w:rPr>
      </w:pPr>
    </w:p>
    <w:p w14:paraId="5B3DE1FE" w14:textId="0C97D380" w:rsidR="00B83789" w:rsidRDefault="002F0AC6" w:rsidP="00CB5924">
      <w:pPr>
        <w:rPr>
          <w:rFonts w:ascii="Arial" w:hAnsi="Arial" w:cs="Arial"/>
        </w:rPr>
      </w:pPr>
      <w:r>
        <w:rPr>
          <w:rFonts w:ascii="Arial" w:hAnsi="Arial" w:cs="Arial"/>
        </w:rPr>
        <w:t>As shown in Table 1, b</w:t>
      </w:r>
      <w:r w:rsidR="00B83789">
        <w:rPr>
          <w:rFonts w:ascii="Arial" w:hAnsi="Arial" w:cs="Arial"/>
        </w:rPr>
        <w:t>y using the D-digit indicator</w:t>
      </w:r>
      <w:r w:rsidR="00F7729A">
        <w:rPr>
          <w:rFonts w:ascii="Arial" w:hAnsi="Arial" w:cs="Arial"/>
        </w:rPr>
        <w:t xml:space="preserve"> (the </w:t>
      </w:r>
      <w:r w:rsidR="00315CB8">
        <w:rPr>
          <w:rFonts w:ascii="Arial" w:hAnsi="Arial" w:cs="Arial"/>
        </w:rPr>
        <w:t>D</w:t>
      </w:r>
      <w:r w:rsidR="00F7729A">
        <w:rPr>
          <w:rFonts w:ascii="Arial" w:hAnsi="Arial" w:cs="Arial"/>
        </w:rPr>
        <w:t>-digit can be any number from 0-9)</w:t>
      </w:r>
      <w:r w:rsidR="00B83789">
        <w:rPr>
          <w:rFonts w:ascii="Arial" w:hAnsi="Arial" w:cs="Arial"/>
        </w:rPr>
        <w:t xml:space="preserve"> to </w:t>
      </w:r>
      <w:r w:rsidR="00C1352B">
        <w:rPr>
          <w:rFonts w:ascii="Arial" w:hAnsi="Arial" w:cs="Arial"/>
        </w:rPr>
        <w:t>make</w:t>
      </w:r>
      <w:r w:rsidR="00B83789">
        <w:rPr>
          <w:rFonts w:ascii="Arial" w:hAnsi="Arial" w:cs="Arial"/>
        </w:rPr>
        <w:t xml:space="preserve"> 200 </w:t>
      </w:r>
      <w:proofErr w:type="gramStart"/>
      <w:r w:rsidR="00B83789">
        <w:rPr>
          <w:rFonts w:ascii="Arial" w:hAnsi="Arial" w:cs="Arial"/>
        </w:rPr>
        <w:t>1+14 digit</w:t>
      </w:r>
      <w:proofErr w:type="gramEnd"/>
      <w:r w:rsidR="00B83789">
        <w:rPr>
          <w:rFonts w:ascii="Arial" w:hAnsi="Arial" w:cs="Arial"/>
        </w:rPr>
        <w:t xml:space="preserve"> blocks, it would allow for a total of </w:t>
      </w:r>
      <w:r w:rsidR="00C1352B">
        <w:rPr>
          <w:rFonts w:ascii="Arial" w:hAnsi="Arial" w:cs="Arial"/>
        </w:rPr>
        <w:t xml:space="preserve">20 billion </w:t>
      </w:r>
      <w:r w:rsidR="00B83789">
        <w:rPr>
          <w:rFonts w:ascii="Arial" w:hAnsi="Arial" w:cs="Arial"/>
        </w:rPr>
        <w:t>TNs in a non-geographic NPA. If the entire NPA is designated as 1+14-digits using the NXX format, that creates 80 billion TNs in an NPA</w:t>
      </w:r>
      <w:r w:rsidR="00815F8D">
        <w:rPr>
          <w:rFonts w:ascii="Arial" w:hAnsi="Arial" w:cs="Arial"/>
        </w:rPr>
        <w:t xml:space="preserve"> (see Table 2)</w:t>
      </w:r>
      <w:r w:rsidR="00B83789">
        <w:rPr>
          <w:rFonts w:ascii="Arial" w:hAnsi="Arial" w:cs="Arial"/>
        </w:rPr>
        <w:t>. If the entire NPA is designated as 1+14-digits</w:t>
      </w:r>
      <w:r w:rsidR="00815F8D">
        <w:rPr>
          <w:rFonts w:ascii="Arial" w:hAnsi="Arial" w:cs="Arial"/>
        </w:rPr>
        <w:t xml:space="preserve"> </w:t>
      </w:r>
      <w:r w:rsidR="00B83789">
        <w:rPr>
          <w:rFonts w:ascii="Arial" w:hAnsi="Arial" w:cs="Arial"/>
        </w:rPr>
        <w:t xml:space="preserve">and uses the XXX format, 100 billion TNs </w:t>
      </w:r>
      <w:r w:rsidR="00500C08">
        <w:rPr>
          <w:rFonts w:ascii="Arial" w:hAnsi="Arial" w:cs="Arial"/>
        </w:rPr>
        <w:t xml:space="preserve">are created </w:t>
      </w:r>
      <w:r w:rsidR="00B83789">
        <w:rPr>
          <w:rFonts w:ascii="Arial" w:hAnsi="Arial" w:cs="Arial"/>
        </w:rPr>
        <w:t>in an NPA</w:t>
      </w:r>
      <w:r w:rsidR="00815F8D">
        <w:rPr>
          <w:rFonts w:ascii="Arial" w:hAnsi="Arial" w:cs="Arial"/>
        </w:rPr>
        <w:t xml:space="preserve"> (see Table 3)</w:t>
      </w:r>
      <w:r w:rsidR="00B83789">
        <w:rPr>
          <w:rFonts w:ascii="Arial" w:hAnsi="Arial" w:cs="Arial"/>
        </w:rPr>
        <w:t>.</w:t>
      </w:r>
      <w:r w:rsidR="001526DC">
        <w:rPr>
          <w:rFonts w:ascii="Arial" w:hAnsi="Arial" w:cs="Arial"/>
        </w:rPr>
        <w:t xml:space="preserve"> </w:t>
      </w:r>
      <w:r w:rsidR="00AC5DCC">
        <w:rPr>
          <w:rFonts w:ascii="Arial" w:hAnsi="Arial" w:cs="Arial"/>
        </w:rPr>
        <w:t>As can been seen from Table 2 and Table 3, o</w:t>
      </w:r>
      <w:r w:rsidR="00517BD7">
        <w:rPr>
          <w:rFonts w:ascii="Arial" w:hAnsi="Arial" w:cs="Arial"/>
        </w:rPr>
        <w:t>mitting</w:t>
      </w:r>
      <w:r w:rsidR="00506821">
        <w:rPr>
          <w:rFonts w:ascii="Arial" w:hAnsi="Arial" w:cs="Arial"/>
        </w:rPr>
        <w:t xml:space="preserve"> the D-digit indicator will provide at least 4 times as many</w:t>
      </w:r>
      <w:r w:rsidR="00641419">
        <w:rPr>
          <w:rFonts w:ascii="Arial" w:hAnsi="Arial" w:cs="Arial"/>
        </w:rPr>
        <w:t xml:space="preserve"> numbers in an NPA compared to using the D-digit indicator.</w:t>
      </w:r>
      <w:r w:rsidR="00C134CC">
        <w:rPr>
          <w:rFonts w:ascii="Arial" w:hAnsi="Arial" w:cs="Arial"/>
        </w:rPr>
        <w:t xml:space="preserve">  </w:t>
      </w:r>
    </w:p>
    <w:p w14:paraId="2131AAB1" w14:textId="21AEA91F" w:rsidR="00B5048F" w:rsidRDefault="00B5048F" w:rsidP="00B5048F">
      <w:pPr>
        <w:rPr>
          <w:rFonts w:ascii="Arial" w:hAnsi="Arial" w:cs="Arial"/>
          <w:lang w:val="en-US"/>
        </w:rPr>
      </w:pPr>
      <w:r>
        <w:rPr>
          <w:rFonts w:ascii="Arial" w:hAnsi="Arial" w:cs="Arial"/>
          <w:lang w:val="en-US"/>
        </w:rPr>
        <w:t>The CSCN prefers t</w:t>
      </w:r>
      <w:r w:rsidR="001526DC">
        <w:rPr>
          <w:rFonts w:ascii="Arial" w:hAnsi="Arial" w:cs="Arial"/>
          <w:lang w:val="en-US"/>
        </w:rPr>
        <w:t xml:space="preserve">he D-digit not be used as an indicator </w:t>
      </w:r>
      <w:r w:rsidR="00500C08">
        <w:rPr>
          <w:rFonts w:ascii="Arial" w:hAnsi="Arial" w:cs="Arial"/>
          <w:lang w:val="en-US"/>
        </w:rPr>
        <w:t xml:space="preserve">for </w:t>
      </w:r>
      <w:r w:rsidR="001526DC">
        <w:rPr>
          <w:rFonts w:ascii="Arial" w:hAnsi="Arial" w:cs="Arial"/>
          <w:lang w:val="en-US"/>
        </w:rPr>
        <w:t>an expanded digit format</w:t>
      </w:r>
      <w:r w:rsidR="00FE0028">
        <w:rPr>
          <w:rFonts w:ascii="Arial" w:hAnsi="Arial" w:cs="Arial"/>
          <w:lang w:val="en-US"/>
        </w:rPr>
        <w:t xml:space="preserve"> </w:t>
      </w:r>
      <w:r w:rsidR="00826D3D">
        <w:rPr>
          <w:rFonts w:ascii="Arial" w:hAnsi="Arial" w:cs="Arial"/>
          <w:lang w:val="en-US"/>
        </w:rPr>
        <w:t>and the D-digit can be any number from 0 to 9</w:t>
      </w:r>
      <w:r w:rsidR="001526DC">
        <w:rPr>
          <w:rFonts w:ascii="Arial" w:hAnsi="Arial" w:cs="Arial"/>
          <w:lang w:val="en-US"/>
        </w:rPr>
        <w:t>.</w:t>
      </w:r>
    </w:p>
    <w:p w14:paraId="3F70377E" w14:textId="77777777" w:rsidR="00B83789" w:rsidRPr="00B1506F" w:rsidRDefault="00B83789" w:rsidP="00B83789">
      <w:pPr>
        <w:rPr>
          <w:rFonts w:ascii="Arial" w:hAnsi="Arial" w:cs="Arial"/>
          <w:u w:val="single"/>
          <w:lang w:val="en-US"/>
        </w:rPr>
      </w:pPr>
      <w:r w:rsidRPr="00B1506F">
        <w:rPr>
          <w:rFonts w:ascii="Arial" w:hAnsi="Arial" w:cs="Arial"/>
          <w:u w:val="single"/>
          <w:lang w:val="en-US"/>
        </w:rPr>
        <w:t>Block size</w:t>
      </w:r>
    </w:p>
    <w:p w14:paraId="7BC6C560" w14:textId="1D82FCBC" w:rsidR="00907349" w:rsidRDefault="00907349" w:rsidP="00252095">
      <w:pPr>
        <w:rPr>
          <w:rFonts w:ascii="Arial" w:hAnsi="Arial" w:cs="Arial"/>
        </w:rPr>
      </w:pPr>
      <w:r>
        <w:rPr>
          <w:rFonts w:ascii="Arial" w:hAnsi="Arial" w:cs="Arial"/>
        </w:rPr>
        <w:t xml:space="preserve">When considering block size, </w:t>
      </w:r>
      <w:r w:rsidR="002047AD">
        <w:rPr>
          <w:rFonts w:ascii="Arial" w:hAnsi="Arial" w:cs="Arial"/>
        </w:rPr>
        <w:t>o</w:t>
      </w:r>
      <w:r w:rsidR="002047AD" w:rsidRPr="002047AD">
        <w:rPr>
          <w:rFonts w:ascii="Arial" w:hAnsi="Arial" w:cs="Arial"/>
        </w:rPr>
        <w:t xml:space="preserve">ne 1+14-digit </w:t>
      </w:r>
      <w:r w:rsidR="002047AD" w:rsidRPr="002047AD">
        <w:rPr>
          <w:rFonts w:ascii="Arial" w:hAnsi="Arial" w:cs="Arial"/>
          <w:lang w:val="en-US"/>
        </w:rPr>
        <w:t xml:space="preserve">NPA has </w:t>
      </w:r>
      <w:r w:rsidR="00882355" w:rsidRPr="002047AD">
        <w:rPr>
          <w:rFonts w:ascii="Arial" w:hAnsi="Arial" w:cs="Arial"/>
          <w:lang w:val="en-US"/>
        </w:rPr>
        <w:t>100</w:t>
      </w:r>
      <w:r w:rsidR="00882355">
        <w:rPr>
          <w:rFonts w:ascii="Arial" w:hAnsi="Arial" w:cs="Arial"/>
          <w:lang w:val="en-US"/>
        </w:rPr>
        <w:t xml:space="preserve"> billion</w:t>
      </w:r>
      <w:r w:rsidR="00882355" w:rsidRPr="002047AD">
        <w:rPr>
          <w:rFonts w:ascii="Arial" w:hAnsi="Arial" w:cs="Arial"/>
          <w:lang w:val="en-US"/>
        </w:rPr>
        <w:t xml:space="preserve"> </w:t>
      </w:r>
      <w:r w:rsidR="002047AD" w:rsidRPr="002047AD">
        <w:rPr>
          <w:rFonts w:ascii="Arial" w:hAnsi="Arial" w:cs="Arial"/>
          <w:lang w:val="en-US"/>
        </w:rPr>
        <w:t>TNs</w:t>
      </w:r>
      <w:r w:rsidR="00B00B39">
        <w:rPr>
          <w:rFonts w:ascii="Arial" w:hAnsi="Arial" w:cs="Arial"/>
          <w:lang w:val="en-US"/>
        </w:rPr>
        <w:t>.</w:t>
      </w:r>
      <w:r w:rsidR="002047AD">
        <w:rPr>
          <w:rFonts w:ascii="Arial" w:hAnsi="Arial" w:cs="Arial"/>
          <w:lang w:val="en-US"/>
        </w:rPr>
        <w:t xml:space="preserve"> </w:t>
      </w:r>
      <w:r w:rsidR="00B00B39">
        <w:rPr>
          <w:rFonts w:ascii="Arial" w:hAnsi="Arial" w:cs="Arial"/>
        </w:rPr>
        <w:t>T</w:t>
      </w:r>
      <w:r>
        <w:rPr>
          <w:rFonts w:ascii="Arial" w:hAnsi="Arial" w:cs="Arial"/>
        </w:rPr>
        <w:t xml:space="preserve">he smaller the </w:t>
      </w:r>
      <w:r w:rsidR="004D6BFE">
        <w:rPr>
          <w:rFonts w:ascii="Arial" w:hAnsi="Arial" w:cs="Arial"/>
        </w:rPr>
        <w:t>number of TNs in a block size, the more efficiently the resource can be</w:t>
      </w:r>
      <w:r w:rsidR="00C1649C">
        <w:rPr>
          <w:rFonts w:ascii="Arial" w:hAnsi="Arial" w:cs="Arial"/>
        </w:rPr>
        <w:t xml:space="preserve"> </w:t>
      </w:r>
      <w:r w:rsidR="009469DA">
        <w:rPr>
          <w:rFonts w:ascii="Arial" w:hAnsi="Arial" w:cs="Arial"/>
        </w:rPr>
        <w:t>distributed among carriers</w:t>
      </w:r>
      <w:r w:rsidR="004D6BFE">
        <w:rPr>
          <w:rFonts w:ascii="Arial" w:hAnsi="Arial" w:cs="Arial"/>
        </w:rPr>
        <w:t>.</w:t>
      </w:r>
      <w:r w:rsidR="009469DA">
        <w:rPr>
          <w:rFonts w:ascii="Arial" w:hAnsi="Arial" w:cs="Arial"/>
        </w:rPr>
        <w:t xml:space="preserve">  </w:t>
      </w:r>
    </w:p>
    <w:p w14:paraId="4C1272B1" w14:textId="211EB3C9" w:rsidR="00037944" w:rsidRPr="002634BA" w:rsidRDefault="00ED7DD7" w:rsidP="002634BA">
      <w:pPr>
        <w:rPr>
          <w:rFonts w:ascii="Arial" w:hAnsi="Arial" w:cs="Arial"/>
          <w:lang w:val="en-US"/>
        </w:rPr>
      </w:pPr>
      <w:r w:rsidRPr="00ED7DD7">
        <w:rPr>
          <w:rFonts w:ascii="Arial" w:hAnsi="Arial" w:cs="Arial"/>
        </w:rPr>
        <w:t xml:space="preserve">The following table compares the </w:t>
      </w:r>
      <w:r w:rsidR="00F1767C">
        <w:rPr>
          <w:rFonts w:ascii="Arial" w:hAnsi="Arial" w:cs="Arial"/>
        </w:rPr>
        <w:t>options for dividing up a 1+14-digit NPA</w:t>
      </w:r>
      <w:r w:rsidR="004D0A2F">
        <w:rPr>
          <w:rFonts w:ascii="Arial" w:hAnsi="Arial" w:cs="Arial"/>
        </w:rPr>
        <w:t xml:space="preserve"> into various block sizes:</w:t>
      </w:r>
    </w:p>
    <w:tbl>
      <w:tblPr>
        <w:tblStyle w:val="TableGrid"/>
        <w:tblW w:w="0" w:type="auto"/>
        <w:jc w:val="center"/>
        <w:tblLook w:val="04A0" w:firstRow="1" w:lastRow="0" w:firstColumn="1" w:lastColumn="0" w:noHBand="0" w:noVBand="1"/>
      </w:tblPr>
      <w:tblGrid>
        <w:gridCol w:w="895"/>
        <w:gridCol w:w="2221"/>
        <w:gridCol w:w="1558"/>
        <w:gridCol w:w="2791"/>
      </w:tblGrid>
      <w:tr w:rsidR="00640C08" w14:paraId="1E5873AE" w14:textId="66486402" w:rsidTr="00A535D6">
        <w:trPr>
          <w:tblHeader/>
          <w:jc w:val="center"/>
        </w:trPr>
        <w:tc>
          <w:tcPr>
            <w:tcW w:w="895" w:type="dxa"/>
          </w:tcPr>
          <w:p w14:paraId="543CD2A0" w14:textId="3B181595" w:rsidR="00526F4A" w:rsidRDefault="00526F4A" w:rsidP="004735D2">
            <w:pPr>
              <w:rPr>
                <w:rFonts w:ascii="Arial" w:hAnsi="Arial" w:cs="Arial"/>
                <w:lang w:val="en-US"/>
              </w:rPr>
            </w:pPr>
            <w:r>
              <w:rPr>
                <w:rFonts w:ascii="Arial" w:hAnsi="Arial" w:cs="Arial"/>
                <w:lang w:val="en-US"/>
              </w:rPr>
              <w:t>Option</w:t>
            </w:r>
          </w:p>
        </w:tc>
        <w:tc>
          <w:tcPr>
            <w:tcW w:w="2221" w:type="dxa"/>
          </w:tcPr>
          <w:p w14:paraId="5D34D45B" w14:textId="77777777" w:rsidR="00526F4A" w:rsidRDefault="00526F4A" w:rsidP="004735D2">
            <w:pPr>
              <w:rPr>
                <w:rFonts w:ascii="Arial" w:hAnsi="Arial" w:cs="Arial"/>
                <w:lang w:val="en-US"/>
              </w:rPr>
            </w:pPr>
            <w:r>
              <w:rPr>
                <w:rFonts w:ascii="Arial" w:hAnsi="Arial" w:cs="Arial"/>
                <w:lang w:val="en-US"/>
              </w:rPr>
              <w:t>Block size</w:t>
            </w:r>
          </w:p>
          <w:p w14:paraId="3C69205D" w14:textId="328BAE17" w:rsidR="00526F4A" w:rsidRDefault="00526F4A" w:rsidP="004735D2">
            <w:pPr>
              <w:rPr>
                <w:rFonts w:ascii="Arial" w:hAnsi="Arial" w:cs="Arial"/>
                <w:lang w:val="en-US"/>
              </w:rPr>
            </w:pPr>
            <w:r>
              <w:rPr>
                <w:rFonts w:ascii="Arial" w:hAnsi="Arial" w:cs="Arial"/>
                <w:lang w:val="en-US"/>
              </w:rPr>
              <w:t>(# of TNs per block)</w:t>
            </w:r>
          </w:p>
        </w:tc>
        <w:tc>
          <w:tcPr>
            <w:tcW w:w="1558" w:type="dxa"/>
          </w:tcPr>
          <w:p w14:paraId="280B5A44" w14:textId="4AEF953B" w:rsidR="00526F4A" w:rsidRDefault="00526F4A" w:rsidP="004735D2">
            <w:pPr>
              <w:rPr>
                <w:rFonts w:ascii="Arial" w:hAnsi="Arial" w:cs="Arial"/>
                <w:lang w:val="en-US"/>
              </w:rPr>
            </w:pPr>
            <w:r>
              <w:rPr>
                <w:rFonts w:ascii="Arial" w:hAnsi="Arial" w:cs="Arial"/>
                <w:lang w:val="en-US"/>
              </w:rPr>
              <w:t>#</w:t>
            </w:r>
            <w:r w:rsidR="00712129">
              <w:rPr>
                <w:rFonts w:ascii="Arial" w:hAnsi="Arial" w:cs="Arial"/>
                <w:lang w:val="en-US"/>
              </w:rPr>
              <w:t xml:space="preserve"> of</w:t>
            </w:r>
            <w:r>
              <w:rPr>
                <w:rFonts w:ascii="Arial" w:hAnsi="Arial" w:cs="Arial"/>
                <w:lang w:val="en-US"/>
              </w:rPr>
              <w:t xml:space="preserve"> Blocks per </w:t>
            </w:r>
            <w:proofErr w:type="gramStart"/>
            <w:r w:rsidR="002477F0">
              <w:rPr>
                <w:rFonts w:ascii="Arial" w:hAnsi="Arial" w:cs="Arial"/>
                <w:lang w:val="en-US"/>
              </w:rPr>
              <w:t>1+14 digit</w:t>
            </w:r>
            <w:proofErr w:type="gramEnd"/>
            <w:r w:rsidR="002477F0">
              <w:rPr>
                <w:rFonts w:ascii="Arial" w:hAnsi="Arial" w:cs="Arial"/>
                <w:lang w:val="en-US"/>
              </w:rPr>
              <w:t xml:space="preserve"> </w:t>
            </w:r>
            <w:r>
              <w:rPr>
                <w:rFonts w:ascii="Arial" w:hAnsi="Arial" w:cs="Arial"/>
                <w:lang w:val="en-US"/>
              </w:rPr>
              <w:t>NPA</w:t>
            </w:r>
          </w:p>
        </w:tc>
        <w:tc>
          <w:tcPr>
            <w:tcW w:w="2791" w:type="dxa"/>
          </w:tcPr>
          <w:p w14:paraId="6CA7ADDE" w14:textId="24CE80F2" w:rsidR="00526F4A" w:rsidRDefault="00AC5449" w:rsidP="004735D2">
            <w:pPr>
              <w:rPr>
                <w:rFonts w:ascii="Arial" w:hAnsi="Arial" w:cs="Arial"/>
                <w:lang w:val="en-US"/>
              </w:rPr>
            </w:pPr>
            <w:r>
              <w:rPr>
                <w:rFonts w:ascii="Arial" w:hAnsi="Arial" w:cs="Arial"/>
                <w:lang w:val="en-US"/>
              </w:rPr>
              <w:t xml:space="preserve">Administered </w:t>
            </w:r>
            <w:r w:rsidR="00FF42EE">
              <w:rPr>
                <w:rFonts w:ascii="Arial" w:hAnsi="Arial" w:cs="Arial"/>
                <w:lang w:val="en-US"/>
              </w:rPr>
              <w:t>D</w:t>
            </w:r>
            <w:r>
              <w:rPr>
                <w:rFonts w:ascii="Arial" w:hAnsi="Arial" w:cs="Arial"/>
                <w:lang w:val="en-US"/>
              </w:rPr>
              <w:t>igits</w:t>
            </w:r>
            <w:r w:rsidR="002477F0">
              <w:rPr>
                <w:rFonts w:ascii="Arial" w:hAnsi="Arial" w:cs="Arial"/>
                <w:lang w:val="en-US"/>
              </w:rPr>
              <w:t xml:space="preserve"> (block identifier digits)</w:t>
            </w:r>
          </w:p>
          <w:p w14:paraId="02318F8D" w14:textId="73661F13" w:rsidR="00FF42EE" w:rsidRDefault="00FF42EE" w:rsidP="004735D2">
            <w:pPr>
              <w:rPr>
                <w:rFonts w:ascii="Arial" w:hAnsi="Arial" w:cs="Arial"/>
                <w:lang w:val="en-US"/>
              </w:rPr>
            </w:pPr>
            <w:r>
              <w:rPr>
                <w:rFonts w:ascii="Arial" w:hAnsi="Arial" w:cs="Arial"/>
                <w:lang w:val="en-US"/>
              </w:rPr>
              <w:t>(in bold)</w:t>
            </w:r>
          </w:p>
        </w:tc>
      </w:tr>
      <w:tr w:rsidR="00640C08" w14:paraId="355A19BF" w14:textId="75E0B835" w:rsidTr="00037944">
        <w:trPr>
          <w:jc w:val="center"/>
        </w:trPr>
        <w:tc>
          <w:tcPr>
            <w:tcW w:w="895" w:type="dxa"/>
          </w:tcPr>
          <w:p w14:paraId="425AAA76" w14:textId="10FD064E" w:rsidR="00526F4A" w:rsidRDefault="00526F4A" w:rsidP="004735D2">
            <w:pPr>
              <w:rPr>
                <w:rFonts w:ascii="Arial" w:hAnsi="Arial" w:cs="Arial"/>
                <w:lang w:val="en-US"/>
              </w:rPr>
            </w:pPr>
            <w:r>
              <w:rPr>
                <w:rFonts w:ascii="Arial" w:hAnsi="Arial" w:cs="Arial"/>
                <w:lang w:val="en-US"/>
              </w:rPr>
              <w:t>1</w:t>
            </w:r>
          </w:p>
        </w:tc>
        <w:tc>
          <w:tcPr>
            <w:tcW w:w="2221" w:type="dxa"/>
          </w:tcPr>
          <w:p w14:paraId="2B4A38F3" w14:textId="215B4B98" w:rsidR="00526F4A" w:rsidRDefault="00526F4A" w:rsidP="004735D2">
            <w:pPr>
              <w:rPr>
                <w:rFonts w:ascii="Arial" w:hAnsi="Arial" w:cs="Arial"/>
                <w:lang w:val="en-US"/>
              </w:rPr>
            </w:pPr>
            <w:r>
              <w:rPr>
                <w:rFonts w:ascii="Arial" w:hAnsi="Arial" w:cs="Arial"/>
                <w:lang w:val="en-US"/>
              </w:rPr>
              <w:t>100M</w:t>
            </w:r>
          </w:p>
        </w:tc>
        <w:tc>
          <w:tcPr>
            <w:tcW w:w="1558" w:type="dxa"/>
          </w:tcPr>
          <w:p w14:paraId="59779213" w14:textId="590820C7" w:rsidR="00526F4A" w:rsidRDefault="00526F4A" w:rsidP="004735D2">
            <w:pPr>
              <w:rPr>
                <w:rFonts w:ascii="Arial" w:hAnsi="Arial" w:cs="Arial"/>
                <w:lang w:val="en-US"/>
              </w:rPr>
            </w:pPr>
            <w:r>
              <w:rPr>
                <w:rFonts w:ascii="Arial" w:hAnsi="Arial" w:cs="Arial"/>
                <w:lang w:val="en-US"/>
              </w:rPr>
              <w:t>1K</w:t>
            </w:r>
          </w:p>
        </w:tc>
        <w:tc>
          <w:tcPr>
            <w:tcW w:w="2791" w:type="dxa"/>
          </w:tcPr>
          <w:p w14:paraId="4907BDC4" w14:textId="71081597" w:rsidR="00526F4A" w:rsidRDefault="008C0997" w:rsidP="004735D2">
            <w:pPr>
              <w:rPr>
                <w:rFonts w:ascii="Arial" w:hAnsi="Arial" w:cs="Arial"/>
                <w:lang w:val="en-US"/>
              </w:rPr>
            </w:pPr>
            <w:r>
              <w:rPr>
                <w:rFonts w:ascii="Arial" w:hAnsi="Arial" w:cs="Arial"/>
                <w:lang w:val="en-US"/>
              </w:rPr>
              <w:t>1+ABC-</w:t>
            </w:r>
            <w:r w:rsidR="00526F4A" w:rsidRPr="002634BA">
              <w:rPr>
                <w:rFonts w:ascii="Arial" w:hAnsi="Arial" w:cs="Arial"/>
                <w:b/>
                <w:bCs/>
                <w:u w:val="single"/>
                <w:lang w:val="en-US"/>
              </w:rPr>
              <w:t>DEF</w:t>
            </w:r>
            <w:r w:rsidR="00ED17FC">
              <w:rPr>
                <w:rFonts w:ascii="Arial" w:hAnsi="Arial" w:cs="Arial"/>
                <w:lang w:val="en-US"/>
              </w:rPr>
              <w:t>-</w:t>
            </w:r>
            <w:r w:rsidR="00305280">
              <w:rPr>
                <w:rFonts w:ascii="Arial" w:hAnsi="Arial" w:cs="Arial"/>
                <w:lang w:val="en-US"/>
              </w:rPr>
              <w:t>XXXX-XXXX</w:t>
            </w:r>
          </w:p>
        </w:tc>
      </w:tr>
      <w:tr w:rsidR="00640C08" w14:paraId="397AAD2C" w14:textId="4BEC1D25" w:rsidTr="00037944">
        <w:trPr>
          <w:jc w:val="center"/>
        </w:trPr>
        <w:tc>
          <w:tcPr>
            <w:tcW w:w="895" w:type="dxa"/>
          </w:tcPr>
          <w:p w14:paraId="5C9A7F50" w14:textId="5E1DEB72" w:rsidR="00526F4A" w:rsidRDefault="00526F4A" w:rsidP="004735D2">
            <w:pPr>
              <w:rPr>
                <w:rFonts w:ascii="Arial" w:hAnsi="Arial" w:cs="Arial"/>
                <w:lang w:val="en-US"/>
              </w:rPr>
            </w:pPr>
            <w:r>
              <w:rPr>
                <w:rFonts w:ascii="Arial" w:hAnsi="Arial" w:cs="Arial"/>
                <w:lang w:val="en-US"/>
              </w:rPr>
              <w:t>2</w:t>
            </w:r>
          </w:p>
        </w:tc>
        <w:tc>
          <w:tcPr>
            <w:tcW w:w="2221" w:type="dxa"/>
          </w:tcPr>
          <w:p w14:paraId="2E13127B" w14:textId="4ECE9DD3" w:rsidR="00526F4A" w:rsidRDefault="00526F4A" w:rsidP="004735D2">
            <w:pPr>
              <w:rPr>
                <w:rFonts w:ascii="Arial" w:hAnsi="Arial" w:cs="Arial"/>
                <w:lang w:val="en-US"/>
              </w:rPr>
            </w:pPr>
            <w:r>
              <w:rPr>
                <w:rFonts w:ascii="Arial" w:hAnsi="Arial" w:cs="Arial"/>
                <w:lang w:val="en-US"/>
              </w:rPr>
              <w:t>10M</w:t>
            </w:r>
          </w:p>
        </w:tc>
        <w:tc>
          <w:tcPr>
            <w:tcW w:w="1558" w:type="dxa"/>
          </w:tcPr>
          <w:p w14:paraId="2CB8BA2C" w14:textId="7E223DD7" w:rsidR="00526F4A" w:rsidRDefault="00526F4A" w:rsidP="004735D2">
            <w:pPr>
              <w:rPr>
                <w:rFonts w:ascii="Arial" w:hAnsi="Arial" w:cs="Arial"/>
                <w:lang w:val="en-US"/>
              </w:rPr>
            </w:pPr>
            <w:r>
              <w:rPr>
                <w:rFonts w:ascii="Arial" w:hAnsi="Arial" w:cs="Arial"/>
                <w:lang w:val="en-US"/>
              </w:rPr>
              <w:t>10K</w:t>
            </w:r>
          </w:p>
        </w:tc>
        <w:tc>
          <w:tcPr>
            <w:tcW w:w="2791" w:type="dxa"/>
          </w:tcPr>
          <w:p w14:paraId="3C26ECDB" w14:textId="2F30A38E" w:rsidR="00526F4A" w:rsidRDefault="00ED17FC" w:rsidP="004735D2">
            <w:pPr>
              <w:rPr>
                <w:rFonts w:ascii="Arial" w:hAnsi="Arial" w:cs="Arial"/>
                <w:lang w:val="en-US"/>
              </w:rPr>
            </w:pPr>
            <w:r>
              <w:rPr>
                <w:rFonts w:ascii="Arial" w:hAnsi="Arial" w:cs="Arial"/>
                <w:lang w:val="en-US"/>
              </w:rPr>
              <w:t>1+ABC-</w:t>
            </w:r>
            <w:r w:rsidRPr="00ED17FC">
              <w:rPr>
                <w:rFonts w:ascii="Arial" w:hAnsi="Arial" w:cs="Arial"/>
                <w:b/>
                <w:bCs/>
                <w:u w:val="single"/>
                <w:lang w:val="en-US"/>
              </w:rPr>
              <w:t>DEF</w:t>
            </w:r>
            <w:r w:rsidRPr="002634BA">
              <w:rPr>
                <w:rFonts w:ascii="Arial" w:hAnsi="Arial" w:cs="Arial"/>
                <w:b/>
                <w:bCs/>
                <w:u w:val="single"/>
                <w:lang w:val="en-US"/>
              </w:rPr>
              <w:t>-G</w:t>
            </w:r>
            <w:r w:rsidR="00305280">
              <w:rPr>
                <w:rFonts w:ascii="Arial" w:hAnsi="Arial" w:cs="Arial"/>
                <w:lang w:val="en-US"/>
              </w:rPr>
              <w:t>XXX-XXXX</w:t>
            </w:r>
          </w:p>
        </w:tc>
      </w:tr>
      <w:tr w:rsidR="00640C08" w14:paraId="5D1B0A42" w14:textId="73C62F27" w:rsidTr="00037944">
        <w:trPr>
          <w:jc w:val="center"/>
        </w:trPr>
        <w:tc>
          <w:tcPr>
            <w:tcW w:w="895" w:type="dxa"/>
          </w:tcPr>
          <w:p w14:paraId="32525278" w14:textId="66EBD037" w:rsidR="00526F4A" w:rsidRDefault="00526F4A" w:rsidP="004735D2">
            <w:pPr>
              <w:rPr>
                <w:rFonts w:ascii="Arial" w:hAnsi="Arial" w:cs="Arial"/>
                <w:lang w:val="en-US"/>
              </w:rPr>
            </w:pPr>
            <w:r>
              <w:rPr>
                <w:rFonts w:ascii="Arial" w:hAnsi="Arial" w:cs="Arial"/>
                <w:lang w:val="en-US"/>
              </w:rPr>
              <w:t>3</w:t>
            </w:r>
          </w:p>
        </w:tc>
        <w:tc>
          <w:tcPr>
            <w:tcW w:w="2221" w:type="dxa"/>
          </w:tcPr>
          <w:p w14:paraId="1B328523" w14:textId="79AC5B68" w:rsidR="00526F4A" w:rsidRDefault="00526F4A" w:rsidP="004735D2">
            <w:pPr>
              <w:rPr>
                <w:rFonts w:ascii="Arial" w:hAnsi="Arial" w:cs="Arial"/>
                <w:lang w:val="en-US"/>
              </w:rPr>
            </w:pPr>
            <w:r>
              <w:rPr>
                <w:rFonts w:ascii="Arial" w:hAnsi="Arial" w:cs="Arial"/>
                <w:lang w:val="en-US"/>
              </w:rPr>
              <w:t>1M</w:t>
            </w:r>
          </w:p>
        </w:tc>
        <w:tc>
          <w:tcPr>
            <w:tcW w:w="1558" w:type="dxa"/>
          </w:tcPr>
          <w:p w14:paraId="7C2A4463" w14:textId="24CF6EB4" w:rsidR="00526F4A" w:rsidRDefault="00526F4A" w:rsidP="004735D2">
            <w:pPr>
              <w:rPr>
                <w:rFonts w:ascii="Arial" w:hAnsi="Arial" w:cs="Arial"/>
                <w:lang w:val="en-US"/>
              </w:rPr>
            </w:pPr>
            <w:r>
              <w:rPr>
                <w:rFonts w:ascii="Arial" w:hAnsi="Arial" w:cs="Arial"/>
                <w:lang w:val="en-US"/>
              </w:rPr>
              <w:t>100K</w:t>
            </w:r>
          </w:p>
        </w:tc>
        <w:tc>
          <w:tcPr>
            <w:tcW w:w="2791" w:type="dxa"/>
          </w:tcPr>
          <w:p w14:paraId="150BD379" w14:textId="2FCB5D3B" w:rsidR="00526F4A" w:rsidRDefault="00ED17FC" w:rsidP="004735D2">
            <w:pPr>
              <w:rPr>
                <w:rFonts w:ascii="Arial" w:hAnsi="Arial" w:cs="Arial"/>
                <w:lang w:val="en-US"/>
              </w:rPr>
            </w:pPr>
            <w:r>
              <w:rPr>
                <w:rFonts w:ascii="Arial" w:hAnsi="Arial" w:cs="Arial"/>
                <w:lang w:val="en-US"/>
              </w:rPr>
              <w:t>1+ABC-</w:t>
            </w:r>
            <w:r w:rsidRPr="00ED17FC">
              <w:rPr>
                <w:rFonts w:ascii="Arial" w:hAnsi="Arial" w:cs="Arial"/>
                <w:b/>
                <w:bCs/>
                <w:u w:val="single"/>
                <w:lang w:val="en-US"/>
              </w:rPr>
              <w:t>DEF</w:t>
            </w:r>
            <w:r w:rsidRPr="002634BA">
              <w:rPr>
                <w:rFonts w:ascii="Arial" w:hAnsi="Arial" w:cs="Arial"/>
                <w:b/>
                <w:bCs/>
                <w:u w:val="single"/>
                <w:lang w:val="en-US"/>
              </w:rPr>
              <w:t>-GH</w:t>
            </w:r>
            <w:r w:rsidR="00305280">
              <w:rPr>
                <w:rFonts w:ascii="Arial" w:hAnsi="Arial" w:cs="Arial"/>
                <w:lang w:val="en-US"/>
              </w:rPr>
              <w:t>XX-XXXX</w:t>
            </w:r>
          </w:p>
        </w:tc>
      </w:tr>
      <w:tr w:rsidR="00640C08" w14:paraId="2A10DD34" w14:textId="66801BC6" w:rsidTr="00037944">
        <w:trPr>
          <w:jc w:val="center"/>
        </w:trPr>
        <w:tc>
          <w:tcPr>
            <w:tcW w:w="895" w:type="dxa"/>
          </w:tcPr>
          <w:p w14:paraId="716569AA" w14:textId="1DB375E9" w:rsidR="00526F4A" w:rsidRDefault="00526F4A" w:rsidP="004735D2">
            <w:pPr>
              <w:rPr>
                <w:rFonts w:ascii="Arial" w:hAnsi="Arial" w:cs="Arial"/>
                <w:lang w:val="en-US"/>
              </w:rPr>
            </w:pPr>
            <w:r>
              <w:rPr>
                <w:rFonts w:ascii="Arial" w:hAnsi="Arial" w:cs="Arial"/>
                <w:lang w:val="en-US"/>
              </w:rPr>
              <w:t>4</w:t>
            </w:r>
          </w:p>
        </w:tc>
        <w:tc>
          <w:tcPr>
            <w:tcW w:w="2221" w:type="dxa"/>
          </w:tcPr>
          <w:p w14:paraId="5A93A5A1" w14:textId="58B2AF4D" w:rsidR="00526F4A" w:rsidRDefault="00526F4A" w:rsidP="004735D2">
            <w:pPr>
              <w:rPr>
                <w:rFonts w:ascii="Arial" w:hAnsi="Arial" w:cs="Arial"/>
                <w:lang w:val="en-US"/>
              </w:rPr>
            </w:pPr>
            <w:r>
              <w:rPr>
                <w:rFonts w:ascii="Arial" w:hAnsi="Arial" w:cs="Arial"/>
                <w:lang w:val="en-US"/>
              </w:rPr>
              <w:t>100K</w:t>
            </w:r>
          </w:p>
        </w:tc>
        <w:tc>
          <w:tcPr>
            <w:tcW w:w="1558" w:type="dxa"/>
          </w:tcPr>
          <w:p w14:paraId="6D45E987" w14:textId="012AED6A" w:rsidR="00526F4A" w:rsidRDefault="00526F4A" w:rsidP="004735D2">
            <w:pPr>
              <w:rPr>
                <w:rFonts w:ascii="Arial" w:hAnsi="Arial" w:cs="Arial"/>
                <w:lang w:val="en-US"/>
              </w:rPr>
            </w:pPr>
            <w:r>
              <w:rPr>
                <w:rFonts w:ascii="Arial" w:hAnsi="Arial" w:cs="Arial"/>
                <w:lang w:val="en-US"/>
              </w:rPr>
              <w:t>1M</w:t>
            </w:r>
          </w:p>
        </w:tc>
        <w:tc>
          <w:tcPr>
            <w:tcW w:w="2791" w:type="dxa"/>
          </w:tcPr>
          <w:p w14:paraId="5BB6688C" w14:textId="6B636FAF" w:rsidR="00526F4A" w:rsidRDefault="00ED17FC" w:rsidP="004735D2">
            <w:pPr>
              <w:rPr>
                <w:rFonts w:ascii="Arial" w:hAnsi="Arial" w:cs="Arial"/>
                <w:lang w:val="en-US"/>
              </w:rPr>
            </w:pPr>
            <w:r>
              <w:rPr>
                <w:rFonts w:ascii="Arial" w:hAnsi="Arial" w:cs="Arial"/>
                <w:lang w:val="en-US"/>
              </w:rPr>
              <w:t>1+ABC-</w:t>
            </w:r>
            <w:r w:rsidRPr="00ED17FC">
              <w:rPr>
                <w:rFonts w:ascii="Arial" w:hAnsi="Arial" w:cs="Arial"/>
                <w:b/>
                <w:bCs/>
                <w:u w:val="single"/>
                <w:lang w:val="en-US"/>
              </w:rPr>
              <w:t>DEF</w:t>
            </w:r>
            <w:r w:rsidRPr="002634BA">
              <w:rPr>
                <w:rFonts w:ascii="Arial" w:hAnsi="Arial" w:cs="Arial"/>
                <w:b/>
                <w:bCs/>
                <w:u w:val="single"/>
                <w:lang w:val="en-US"/>
              </w:rPr>
              <w:t>-GHI</w:t>
            </w:r>
            <w:r w:rsidR="00305280">
              <w:rPr>
                <w:rFonts w:ascii="Arial" w:hAnsi="Arial" w:cs="Arial"/>
                <w:lang w:val="en-US"/>
              </w:rPr>
              <w:t>X-XXXX</w:t>
            </w:r>
          </w:p>
        </w:tc>
      </w:tr>
      <w:tr w:rsidR="00640C08" w14:paraId="47B1CBD4" w14:textId="1408810E" w:rsidTr="00037944">
        <w:trPr>
          <w:jc w:val="center"/>
        </w:trPr>
        <w:tc>
          <w:tcPr>
            <w:tcW w:w="895" w:type="dxa"/>
          </w:tcPr>
          <w:p w14:paraId="6402DC6B" w14:textId="0823288A" w:rsidR="00526F4A" w:rsidRDefault="00526F4A" w:rsidP="004735D2">
            <w:pPr>
              <w:rPr>
                <w:rFonts w:ascii="Arial" w:hAnsi="Arial" w:cs="Arial"/>
                <w:lang w:val="en-US"/>
              </w:rPr>
            </w:pPr>
            <w:r>
              <w:rPr>
                <w:rFonts w:ascii="Arial" w:hAnsi="Arial" w:cs="Arial"/>
                <w:lang w:val="en-US"/>
              </w:rPr>
              <w:t>5</w:t>
            </w:r>
          </w:p>
        </w:tc>
        <w:tc>
          <w:tcPr>
            <w:tcW w:w="2221" w:type="dxa"/>
          </w:tcPr>
          <w:p w14:paraId="5CCEEE7A" w14:textId="05769FF9" w:rsidR="00526F4A" w:rsidRDefault="00526F4A" w:rsidP="004735D2">
            <w:pPr>
              <w:rPr>
                <w:rFonts w:ascii="Arial" w:hAnsi="Arial" w:cs="Arial"/>
                <w:lang w:val="en-US"/>
              </w:rPr>
            </w:pPr>
            <w:r>
              <w:rPr>
                <w:rFonts w:ascii="Arial" w:hAnsi="Arial" w:cs="Arial"/>
                <w:lang w:val="en-US"/>
              </w:rPr>
              <w:t>10K</w:t>
            </w:r>
          </w:p>
        </w:tc>
        <w:tc>
          <w:tcPr>
            <w:tcW w:w="1558" w:type="dxa"/>
          </w:tcPr>
          <w:p w14:paraId="099FB6F5" w14:textId="70A551AD" w:rsidR="00526F4A" w:rsidRDefault="00526F4A" w:rsidP="004735D2">
            <w:pPr>
              <w:rPr>
                <w:rFonts w:ascii="Arial" w:hAnsi="Arial" w:cs="Arial"/>
                <w:lang w:val="en-US"/>
              </w:rPr>
            </w:pPr>
            <w:r>
              <w:rPr>
                <w:rFonts w:ascii="Arial" w:hAnsi="Arial" w:cs="Arial"/>
                <w:lang w:val="en-US"/>
              </w:rPr>
              <w:t>10M</w:t>
            </w:r>
          </w:p>
        </w:tc>
        <w:tc>
          <w:tcPr>
            <w:tcW w:w="2791" w:type="dxa"/>
          </w:tcPr>
          <w:p w14:paraId="254BBFD1" w14:textId="2C174728" w:rsidR="00526F4A" w:rsidRDefault="00ED17FC" w:rsidP="004735D2">
            <w:pPr>
              <w:rPr>
                <w:rFonts w:ascii="Arial" w:hAnsi="Arial" w:cs="Arial"/>
                <w:lang w:val="en-US"/>
              </w:rPr>
            </w:pPr>
            <w:r>
              <w:rPr>
                <w:rFonts w:ascii="Arial" w:hAnsi="Arial" w:cs="Arial"/>
                <w:lang w:val="en-US"/>
              </w:rPr>
              <w:t>1+ABC-</w:t>
            </w:r>
            <w:r w:rsidRPr="00ED17FC">
              <w:rPr>
                <w:rFonts w:ascii="Arial" w:hAnsi="Arial" w:cs="Arial"/>
                <w:b/>
                <w:bCs/>
                <w:u w:val="single"/>
                <w:lang w:val="en-US"/>
              </w:rPr>
              <w:t>DEF</w:t>
            </w:r>
            <w:r w:rsidRPr="002634BA">
              <w:rPr>
                <w:rFonts w:ascii="Arial" w:hAnsi="Arial" w:cs="Arial"/>
                <w:b/>
                <w:bCs/>
                <w:u w:val="single"/>
                <w:lang w:val="en-US"/>
              </w:rPr>
              <w:t>-GHIJ</w:t>
            </w:r>
            <w:r>
              <w:rPr>
                <w:rFonts w:ascii="Arial" w:hAnsi="Arial" w:cs="Arial"/>
                <w:lang w:val="en-US"/>
              </w:rPr>
              <w:t>-</w:t>
            </w:r>
            <w:r w:rsidR="00305280">
              <w:rPr>
                <w:rFonts w:ascii="Arial" w:hAnsi="Arial" w:cs="Arial"/>
                <w:lang w:val="en-US"/>
              </w:rPr>
              <w:t>XXXX</w:t>
            </w:r>
          </w:p>
        </w:tc>
      </w:tr>
    </w:tbl>
    <w:p w14:paraId="1D7AF9F4" w14:textId="77777777" w:rsidR="00252095" w:rsidRDefault="00252095" w:rsidP="004735D2">
      <w:pPr>
        <w:rPr>
          <w:rFonts w:ascii="Arial" w:hAnsi="Arial" w:cs="Arial"/>
          <w:lang w:val="en-US"/>
        </w:rPr>
      </w:pPr>
    </w:p>
    <w:p w14:paraId="18AB7F99" w14:textId="5D5C38FD" w:rsidR="006233B0" w:rsidRDefault="00063538" w:rsidP="004735D2">
      <w:pPr>
        <w:rPr>
          <w:rFonts w:ascii="Arial" w:hAnsi="Arial" w:cs="Arial"/>
          <w:lang w:val="en-US"/>
        </w:rPr>
      </w:pPr>
      <w:r w:rsidRPr="002634BA">
        <w:rPr>
          <w:rFonts w:ascii="Arial" w:hAnsi="Arial" w:cs="Arial"/>
          <w:lang w:val="en-US"/>
        </w:rPr>
        <w:t xml:space="preserve">The 10K </w:t>
      </w:r>
      <w:r w:rsidR="00BD1A21" w:rsidRPr="002634BA">
        <w:rPr>
          <w:rFonts w:ascii="Arial" w:hAnsi="Arial" w:cs="Arial"/>
          <w:lang w:val="en-US"/>
        </w:rPr>
        <w:t>block size</w:t>
      </w:r>
      <w:r w:rsidRPr="002634BA">
        <w:rPr>
          <w:rFonts w:ascii="Arial" w:hAnsi="Arial" w:cs="Arial"/>
          <w:lang w:val="en-US"/>
        </w:rPr>
        <w:t xml:space="preserve"> is the </w:t>
      </w:r>
      <w:r w:rsidR="002477F0">
        <w:rPr>
          <w:rFonts w:ascii="Arial" w:hAnsi="Arial" w:cs="Arial"/>
          <w:lang w:val="en-US"/>
        </w:rPr>
        <w:t>traditional</w:t>
      </w:r>
      <w:r w:rsidR="002434BD">
        <w:rPr>
          <w:rFonts w:ascii="Arial" w:hAnsi="Arial" w:cs="Arial"/>
          <w:lang w:val="en-US"/>
        </w:rPr>
        <w:t xml:space="preserve"> </w:t>
      </w:r>
      <w:r w:rsidR="00BD1A21" w:rsidRPr="002634BA">
        <w:rPr>
          <w:rFonts w:ascii="Arial" w:hAnsi="Arial" w:cs="Arial"/>
          <w:lang w:val="en-US"/>
        </w:rPr>
        <w:t xml:space="preserve">block size </w:t>
      </w:r>
      <w:r w:rsidR="002477F0">
        <w:rPr>
          <w:rFonts w:ascii="Arial" w:hAnsi="Arial" w:cs="Arial"/>
          <w:lang w:val="en-US"/>
        </w:rPr>
        <w:t xml:space="preserve">(CO Code) that </w:t>
      </w:r>
      <w:r w:rsidR="00BD1A21" w:rsidRPr="002634BA">
        <w:rPr>
          <w:rFonts w:ascii="Arial" w:hAnsi="Arial" w:cs="Arial"/>
          <w:lang w:val="en-US"/>
        </w:rPr>
        <w:t xml:space="preserve">service providers have been using and </w:t>
      </w:r>
      <w:r w:rsidR="002477F0">
        <w:rPr>
          <w:rFonts w:ascii="Arial" w:hAnsi="Arial" w:cs="Arial"/>
          <w:lang w:val="en-US"/>
        </w:rPr>
        <w:t>is</w:t>
      </w:r>
      <w:r w:rsidR="002434BD">
        <w:rPr>
          <w:rFonts w:ascii="Arial" w:hAnsi="Arial" w:cs="Arial"/>
          <w:lang w:val="en-US"/>
        </w:rPr>
        <w:t xml:space="preserve"> </w:t>
      </w:r>
      <w:r w:rsidR="00BD1A21" w:rsidRPr="002634BA">
        <w:rPr>
          <w:rFonts w:ascii="Arial" w:hAnsi="Arial" w:cs="Arial"/>
          <w:lang w:val="en-US"/>
        </w:rPr>
        <w:t>the preferred block size going forward</w:t>
      </w:r>
      <w:r w:rsidR="002477F0">
        <w:rPr>
          <w:rFonts w:ascii="Arial" w:hAnsi="Arial" w:cs="Arial"/>
          <w:lang w:val="en-US"/>
        </w:rPr>
        <w:t xml:space="preserve"> because the</w:t>
      </w:r>
      <w:r w:rsidR="00B73A2C">
        <w:rPr>
          <w:rFonts w:ascii="Arial" w:hAnsi="Arial" w:cs="Arial"/>
          <w:lang w:val="en-US"/>
        </w:rPr>
        <w:t xml:space="preserve"> smaller the block size, the more efficiently it can be administered. </w:t>
      </w:r>
      <w:r w:rsidR="006631B1">
        <w:rPr>
          <w:rFonts w:ascii="Arial" w:hAnsi="Arial" w:cs="Arial"/>
          <w:lang w:val="en-US"/>
        </w:rPr>
        <w:t xml:space="preserve">The CSCN considered a smaller block size (1K TNs per block) but </w:t>
      </w:r>
      <w:r w:rsidR="00F24BF1">
        <w:rPr>
          <w:rFonts w:ascii="Arial" w:hAnsi="Arial" w:cs="Arial"/>
          <w:lang w:val="en-US"/>
        </w:rPr>
        <w:t>concluded</w:t>
      </w:r>
      <w:r w:rsidR="006631B1">
        <w:rPr>
          <w:rFonts w:ascii="Arial" w:hAnsi="Arial" w:cs="Arial"/>
          <w:lang w:val="en-US"/>
        </w:rPr>
        <w:t xml:space="preserve"> that </w:t>
      </w:r>
      <w:r w:rsidR="00E75E80">
        <w:rPr>
          <w:rFonts w:ascii="Arial" w:hAnsi="Arial" w:cs="Arial"/>
          <w:lang w:val="en-US"/>
        </w:rPr>
        <w:t xml:space="preserve">since non-geographic numbers are not limited to Exchange Areas and could </w:t>
      </w:r>
      <w:r w:rsidR="00E75E80">
        <w:rPr>
          <w:rFonts w:ascii="Arial" w:hAnsi="Arial" w:cs="Arial"/>
          <w:lang w:val="en-US"/>
        </w:rPr>
        <w:lastRenderedPageBreak/>
        <w:t xml:space="preserve">be utilized Canada-wide, </w:t>
      </w:r>
      <w:r w:rsidR="006631B1">
        <w:rPr>
          <w:rFonts w:ascii="Arial" w:hAnsi="Arial" w:cs="Arial"/>
          <w:lang w:val="en-US"/>
        </w:rPr>
        <w:t xml:space="preserve">a smaller block size would </w:t>
      </w:r>
      <w:r w:rsidR="00E75E80">
        <w:rPr>
          <w:rFonts w:ascii="Arial" w:hAnsi="Arial" w:cs="Arial"/>
          <w:lang w:val="en-US"/>
        </w:rPr>
        <w:t xml:space="preserve">not </w:t>
      </w:r>
      <w:r w:rsidR="006631B1">
        <w:rPr>
          <w:rFonts w:ascii="Arial" w:hAnsi="Arial" w:cs="Arial"/>
          <w:lang w:val="en-US"/>
        </w:rPr>
        <w:t xml:space="preserve">be </w:t>
      </w:r>
      <w:r w:rsidR="004C09AB">
        <w:rPr>
          <w:rFonts w:ascii="Arial" w:hAnsi="Arial" w:cs="Arial"/>
          <w:lang w:val="en-US"/>
        </w:rPr>
        <w:t>more efficient</w:t>
      </w:r>
      <w:r w:rsidR="00D02C74">
        <w:rPr>
          <w:rFonts w:ascii="Arial" w:hAnsi="Arial" w:cs="Arial"/>
          <w:lang w:val="en-US"/>
        </w:rPr>
        <w:t xml:space="preserve"> when considering the additional administrative burden</w:t>
      </w:r>
      <w:r w:rsidR="006631B1">
        <w:rPr>
          <w:rFonts w:ascii="Arial" w:hAnsi="Arial" w:cs="Arial"/>
          <w:lang w:val="en-US"/>
        </w:rPr>
        <w:t xml:space="preserve">. </w:t>
      </w:r>
      <w:r w:rsidR="00CF4F23">
        <w:rPr>
          <w:rFonts w:ascii="Arial" w:hAnsi="Arial" w:cs="Arial"/>
          <w:lang w:val="en-US"/>
        </w:rPr>
        <w:t xml:space="preserve">Whereas geographic </w:t>
      </w:r>
      <w:r w:rsidR="00A96EC9">
        <w:rPr>
          <w:rFonts w:ascii="Arial" w:hAnsi="Arial" w:cs="Arial"/>
          <w:lang w:val="en-US"/>
        </w:rPr>
        <w:t>CO Codes</w:t>
      </w:r>
      <w:r w:rsidR="00CF4F23">
        <w:rPr>
          <w:rFonts w:ascii="Arial" w:hAnsi="Arial" w:cs="Arial"/>
          <w:lang w:val="en-US"/>
        </w:rPr>
        <w:t xml:space="preserve"> are limited to being assigned in individual Exchange Areas, a single non-geographic </w:t>
      </w:r>
      <w:r w:rsidR="009A3974">
        <w:rPr>
          <w:rFonts w:ascii="Arial" w:hAnsi="Arial" w:cs="Arial"/>
          <w:lang w:val="en-US"/>
        </w:rPr>
        <w:t xml:space="preserve">code </w:t>
      </w:r>
      <w:r w:rsidR="00CF4F23">
        <w:rPr>
          <w:rFonts w:ascii="Arial" w:hAnsi="Arial" w:cs="Arial"/>
          <w:lang w:val="en-US"/>
        </w:rPr>
        <w:t xml:space="preserve">can be </w:t>
      </w:r>
      <w:r w:rsidR="00364586">
        <w:rPr>
          <w:rFonts w:ascii="Arial" w:hAnsi="Arial" w:cs="Arial"/>
          <w:lang w:val="en-US"/>
        </w:rPr>
        <w:t>utilized</w:t>
      </w:r>
      <w:r w:rsidR="00CF4F23">
        <w:rPr>
          <w:rFonts w:ascii="Arial" w:hAnsi="Arial" w:cs="Arial"/>
          <w:lang w:val="en-US"/>
        </w:rPr>
        <w:t xml:space="preserve"> Canada-wide</w:t>
      </w:r>
      <w:r w:rsidR="007A7E79">
        <w:rPr>
          <w:rFonts w:ascii="Arial" w:hAnsi="Arial" w:cs="Arial"/>
          <w:lang w:val="en-US"/>
        </w:rPr>
        <w:t xml:space="preserve">. </w:t>
      </w:r>
      <w:r w:rsidR="003139CF">
        <w:rPr>
          <w:rFonts w:ascii="Arial" w:hAnsi="Arial" w:cs="Arial"/>
          <w:lang w:val="en-US"/>
        </w:rPr>
        <w:t>Consequently, a</w:t>
      </w:r>
      <w:r w:rsidR="007A7E79">
        <w:rPr>
          <w:rFonts w:ascii="Arial" w:hAnsi="Arial" w:cs="Arial"/>
          <w:lang w:val="en-US"/>
        </w:rPr>
        <w:t xml:space="preserve"> carrier </w:t>
      </w:r>
      <w:r w:rsidR="008E5FE5">
        <w:rPr>
          <w:rFonts w:ascii="Arial" w:hAnsi="Arial" w:cs="Arial"/>
          <w:lang w:val="en-US"/>
        </w:rPr>
        <w:t xml:space="preserve">can use their entire non-geographic inventory to </w:t>
      </w:r>
      <w:r w:rsidR="003459A6">
        <w:rPr>
          <w:rFonts w:ascii="Arial" w:hAnsi="Arial" w:cs="Arial"/>
          <w:lang w:val="en-US"/>
        </w:rPr>
        <w:t>provide services</w:t>
      </w:r>
      <w:r w:rsidR="008E5FE5">
        <w:rPr>
          <w:rFonts w:ascii="Arial" w:hAnsi="Arial" w:cs="Arial"/>
          <w:lang w:val="en-US"/>
        </w:rPr>
        <w:t xml:space="preserve"> across Canada instead of being restr</w:t>
      </w:r>
      <w:r w:rsidR="003139CF">
        <w:rPr>
          <w:rFonts w:ascii="Arial" w:hAnsi="Arial" w:cs="Arial"/>
          <w:lang w:val="en-US"/>
        </w:rPr>
        <w:t>icted by Exchange Areas</w:t>
      </w:r>
      <w:r w:rsidR="003459A6">
        <w:rPr>
          <w:rFonts w:ascii="Arial" w:hAnsi="Arial" w:cs="Arial"/>
          <w:lang w:val="en-US"/>
        </w:rPr>
        <w:t>, as is the case with geographic CO Codes</w:t>
      </w:r>
      <w:r w:rsidR="003139CF">
        <w:rPr>
          <w:rFonts w:ascii="Arial" w:hAnsi="Arial" w:cs="Arial"/>
          <w:lang w:val="en-US"/>
        </w:rPr>
        <w:t>.</w:t>
      </w:r>
      <w:r w:rsidR="00013B3C">
        <w:rPr>
          <w:rFonts w:ascii="Arial" w:hAnsi="Arial" w:cs="Arial"/>
          <w:lang w:val="en-US"/>
        </w:rPr>
        <w:t xml:space="preserve"> </w:t>
      </w:r>
    </w:p>
    <w:p w14:paraId="03C2FEE7" w14:textId="452685D9" w:rsidR="00274C6E" w:rsidRDefault="00274C6E" w:rsidP="004735D2">
      <w:pPr>
        <w:rPr>
          <w:rFonts w:ascii="Arial" w:hAnsi="Arial" w:cs="Arial"/>
          <w:lang w:val="en-US"/>
        </w:rPr>
      </w:pPr>
      <w:r>
        <w:rPr>
          <w:rFonts w:ascii="Arial" w:hAnsi="Arial" w:cs="Arial"/>
          <w:lang w:val="en-US"/>
        </w:rPr>
        <w:t xml:space="preserve">The following table of historic non-geographic assignments (as of 16 April 2025) </w:t>
      </w:r>
      <w:r w:rsidR="00F524F9">
        <w:rPr>
          <w:rFonts w:ascii="Arial" w:hAnsi="Arial" w:cs="Arial"/>
          <w:lang w:val="en-US"/>
        </w:rPr>
        <w:t xml:space="preserve">illustrates that </w:t>
      </w:r>
      <w:r w:rsidR="007901C4">
        <w:rPr>
          <w:rFonts w:ascii="Arial" w:hAnsi="Arial" w:cs="Arial"/>
          <w:lang w:val="en-US"/>
        </w:rPr>
        <w:t xml:space="preserve">each of </w:t>
      </w:r>
      <w:r w:rsidR="00F524F9">
        <w:rPr>
          <w:rFonts w:ascii="Arial" w:hAnsi="Arial" w:cs="Arial"/>
          <w:lang w:val="en-US"/>
        </w:rPr>
        <w:t>the seven carriers</w:t>
      </w:r>
      <w:r w:rsidR="004B03F1">
        <w:rPr>
          <w:rFonts w:ascii="Arial" w:hAnsi="Arial" w:cs="Arial"/>
          <w:lang w:val="en-US"/>
        </w:rPr>
        <w:t xml:space="preserve"> listed have </w:t>
      </w:r>
      <w:r w:rsidR="007901C4">
        <w:rPr>
          <w:rFonts w:ascii="Arial" w:hAnsi="Arial" w:cs="Arial"/>
          <w:lang w:val="en-US"/>
        </w:rPr>
        <w:t xml:space="preserve">more than one </w:t>
      </w:r>
      <w:r w:rsidR="004B03F1">
        <w:rPr>
          <w:rFonts w:ascii="Arial" w:hAnsi="Arial" w:cs="Arial"/>
          <w:lang w:val="en-US"/>
        </w:rPr>
        <w:t xml:space="preserve">code assignment. </w:t>
      </w:r>
      <w:r w:rsidR="00431BA5">
        <w:rPr>
          <w:rFonts w:ascii="Arial" w:hAnsi="Arial" w:cs="Arial"/>
          <w:lang w:val="en-US"/>
        </w:rPr>
        <w:t>Therefore,</w:t>
      </w:r>
      <w:r w:rsidR="004B03F1">
        <w:rPr>
          <w:rFonts w:ascii="Arial" w:hAnsi="Arial" w:cs="Arial"/>
          <w:lang w:val="en-US"/>
        </w:rPr>
        <w:t xml:space="preserve"> </w:t>
      </w:r>
      <w:proofErr w:type="gramStart"/>
      <w:r w:rsidR="004B03F1">
        <w:rPr>
          <w:rFonts w:ascii="Arial" w:hAnsi="Arial" w:cs="Arial"/>
          <w:lang w:val="en-US"/>
        </w:rPr>
        <w:t>all of</w:t>
      </w:r>
      <w:proofErr w:type="gramEnd"/>
      <w:r w:rsidR="004B03F1">
        <w:rPr>
          <w:rFonts w:ascii="Arial" w:hAnsi="Arial" w:cs="Arial"/>
          <w:lang w:val="en-US"/>
        </w:rPr>
        <w:t xml:space="preserve"> the carriers are already using more than 10,000 TNs.</w:t>
      </w:r>
      <w:r w:rsidR="00EA2786">
        <w:rPr>
          <w:rFonts w:ascii="Arial" w:hAnsi="Arial" w:cs="Arial"/>
          <w:lang w:val="en-US"/>
        </w:rPr>
        <w:t xml:space="preserve"> Given the limited number of companies currently using the resource and no carrier currently has only 1 code assigned, </w:t>
      </w:r>
      <w:proofErr w:type="gramStart"/>
      <w:r w:rsidR="00EA2786">
        <w:rPr>
          <w:rFonts w:ascii="Arial" w:hAnsi="Arial" w:cs="Arial"/>
          <w:lang w:val="en-US"/>
        </w:rPr>
        <w:t>the CSCN</w:t>
      </w:r>
      <w:proofErr w:type="gramEnd"/>
      <w:r w:rsidR="00EA2786">
        <w:rPr>
          <w:rFonts w:ascii="Arial" w:hAnsi="Arial" w:cs="Arial"/>
          <w:lang w:val="en-US"/>
        </w:rPr>
        <w:t xml:space="preserve"> believes that a block size </w:t>
      </w:r>
      <w:r w:rsidR="006C6857">
        <w:rPr>
          <w:rFonts w:ascii="Arial" w:hAnsi="Arial" w:cs="Arial"/>
          <w:lang w:val="en-US"/>
        </w:rPr>
        <w:t xml:space="preserve">smaller than 10,000 </w:t>
      </w:r>
      <w:r w:rsidR="00EA2786">
        <w:rPr>
          <w:rFonts w:ascii="Arial" w:hAnsi="Arial" w:cs="Arial"/>
          <w:lang w:val="en-US"/>
        </w:rPr>
        <w:t>would not provide more efficiency.</w:t>
      </w:r>
      <w:r w:rsidR="00FE6637">
        <w:rPr>
          <w:rFonts w:ascii="Arial" w:hAnsi="Arial" w:cs="Arial"/>
          <w:lang w:val="en-US"/>
        </w:rPr>
        <w:t xml:space="preserve"> </w:t>
      </w:r>
    </w:p>
    <w:tbl>
      <w:tblPr>
        <w:tblW w:w="9085" w:type="dxa"/>
        <w:jc w:val="center"/>
        <w:tblLook w:val="04A0" w:firstRow="1" w:lastRow="0" w:firstColumn="1" w:lastColumn="0" w:noHBand="0" w:noVBand="1"/>
      </w:tblPr>
      <w:tblGrid>
        <w:gridCol w:w="960"/>
        <w:gridCol w:w="5560"/>
        <w:gridCol w:w="2565"/>
      </w:tblGrid>
      <w:tr w:rsidR="00BA4AE0" w:rsidRPr="00BA4AE0" w14:paraId="745ED401" w14:textId="77777777" w:rsidTr="005203A2">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3F4EB" w14:textId="77777777" w:rsidR="00BA4AE0" w:rsidRPr="00BA4AE0" w:rsidRDefault="00BA4AE0" w:rsidP="00BA4AE0">
            <w:pPr>
              <w:spacing w:after="0" w:line="240" w:lineRule="auto"/>
              <w:rPr>
                <w:rFonts w:ascii="Arial" w:eastAsia="Times New Roman" w:hAnsi="Arial" w:cs="Arial"/>
                <w:b/>
                <w:bCs/>
                <w:color w:val="000000"/>
                <w:lang w:val="en-US"/>
              </w:rPr>
            </w:pPr>
            <w:r w:rsidRPr="00BA4AE0">
              <w:rPr>
                <w:rFonts w:ascii="Arial" w:eastAsia="Times New Roman" w:hAnsi="Arial" w:cs="Arial"/>
                <w:b/>
                <w:bCs/>
                <w:color w:val="000000"/>
                <w:lang w:val="en-US"/>
              </w:rPr>
              <w:t>OCN</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2437B822" w14:textId="2A4FBAF4" w:rsidR="00BA4AE0" w:rsidRPr="00BA4AE0" w:rsidRDefault="00BA4AE0" w:rsidP="00BA4AE0">
            <w:pPr>
              <w:spacing w:after="0" w:line="240" w:lineRule="auto"/>
              <w:rPr>
                <w:rFonts w:ascii="Arial" w:eastAsia="Times New Roman" w:hAnsi="Arial" w:cs="Arial"/>
                <w:b/>
                <w:bCs/>
                <w:color w:val="000000"/>
                <w:lang w:val="en-US"/>
              </w:rPr>
            </w:pPr>
            <w:r>
              <w:rPr>
                <w:rFonts w:ascii="Arial" w:eastAsia="Times New Roman" w:hAnsi="Arial" w:cs="Arial"/>
                <w:b/>
                <w:bCs/>
                <w:color w:val="000000"/>
                <w:lang w:val="en-US"/>
              </w:rPr>
              <w:t xml:space="preserve">Company </w:t>
            </w:r>
            <w:r w:rsidRPr="00BA4AE0">
              <w:rPr>
                <w:rFonts w:ascii="Arial" w:eastAsia="Times New Roman" w:hAnsi="Arial" w:cs="Arial"/>
                <w:b/>
                <w:bCs/>
                <w:color w:val="000000"/>
                <w:lang w:val="en-US"/>
              </w:rPr>
              <w:t>Name</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089FC540" w14:textId="77777777" w:rsidR="00BA4AE0" w:rsidRPr="00BA4AE0" w:rsidRDefault="00BA4AE0" w:rsidP="00BA4AE0">
            <w:pPr>
              <w:spacing w:after="0" w:line="240" w:lineRule="auto"/>
              <w:rPr>
                <w:rFonts w:ascii="Arial" w:eastAsia="Times New Roman" w:hAnsi="Arial" w:cs="Arial"/>
                <w:b/>
                <w:bCs/>
                <w:color w:val="000000"/>
                <w:lang w:val="en-US"/>
              </w:rPr>
            </w:pPr>
            <w:r w:rsidRPr="00BA4AE0">
              <w:rPr>
                <w:rFonts w:ascii="Arial" w:eastAsia="Times New Roman" w:hAnsi="Arial" w:cs="Arial"/>
                <w:b/>
                <w:bCs/>
                <w:color w:val="000000"/>
                <w:lang w:val="en-US"/>
              </w:rPr>
              <w:t># of Non-Geographic Codes Assigned</w:t>
            </w:r>
          </w:p>
        </w:tc>
      </w:tr>
      <w:tr w:rsidR="00BA4AE0" w:rsidRPr="00BA4AE0" w14:paraId="54002A61"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82D8F"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6574</w:t>
            </w:r>
          </w:p>
        </w:tc>
        <w:tc>
          <w:tcPr>
            <w:tcW w:w="5560" w:type="dxa"/>
            <w:tcBorders>
              <w:top w:val="nil"/>
              <w:left w:val="nil"/>
              <w:bottom w:val="single" w:sz="4" w:space="0" w:color="auto"/>
              <w:right w:val="single" w:sz="4" w:space="0" w:color="auto"/>
            </w:tcBorders>
            <w:shd w:val="clear" w:color="auto" w:fill="auto"/>
            <w:vAlign w:val="center"/>
            <w:hideMark/>
          </w:tcPr>
          <w:p w14:paraId="6FF8C93F" w14:textId="0B62C96E"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Bell Mobility</w:t>
            </w:r>
          </w:p>
        </w:tc>
        <w:tc>
          <w:tcPr>
            <w:tcW w:w="2565" w:type="dxa"/>
            <w:tcBorders>
              <w:top w:val="nil"/>
              <w:left w:val="nil"/>
              <w:bottom w:val="single" w:sz="4" w:space="0" w:color="auto"/>
              <w:right w:val="single" w:sz="4" w:space="0" w:color="auto"/>
            </w:tcBorders>
            <w:shd w:val="clear" w:color="auto" w:fill="auto"/>
            <w:vAlign w:val="center"/>
            <w:hideMark/>
          </w:tcPr>
          <w:p w14:paraId="364D714B"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140</w:t>
            </w:r>
          </w:p>
        </w:tc>
      </w:tr>
      <w:tr w:rsidR="00BA4AE0" w:rsidRPr="00BA4AE0" w14:paraId="0D7D49A8"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66A6CD"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154E</w:t>
            </w:r>
          </w:p>
        </w:tc>
        <w:tc>
          <w:tcPr>
            <w:tcW w:w="5560" w:type="dxa"/>
            <w:tcBorders>
              <w:top w:val="nil"/>
              <w:left w:val="nil"/>
              <w:bottom w:val="single" w:sz="4" w:space="0" w:color="auto"/>
              <w:right w:val="single" w:sz="4" w:space="0" w:color="auto"/>
            </w:tcBorders>
            <w:shd w:val="clear" w:color="auto" w:fill="auto"/>
            <w:vAlign w:val="center"/>
            <w:hideMark/>
          </w:tcPr>
          <w:p w14:paraId="6E19DEF6" w14:textId="49B6E4B5" w:rsidR="00BA4AE0" w:rsidRPr="00BA4AE0" w:rsidRDefault="00BA4AE0" w:rsidP="00BA4AE0">
            <w:pPr>
              <w:spacing w:after="0" w:line="240" w:lineRule="auto"/>
              <w:rPr>
                <w:rFonts w:ascii="Arial" w:eastAsia="Times New Roman" w:hAnsi="Arial" w:cs="Arial"/>
                <w:color w:val="000000"/>
                <w:lang w:val="en-US"/>
              </w:rPr>
            </w:pPr>
            <w:proofErr w:type="spellStart"/>
            <w:r w:rsidRPr="00BA4AE0">
              <w:rPr>
                <w:rFonts w:ascii="Arial" w:eastAsia="Times New Roman" w:hAnsi="Arial" w:cs="Arial"/>
                <w:color w:val="000000"/>
                <w:lang w:val="en-US"/>
              </w:rPr>
              <w:t>Iristel</w:t>
            </w:r>
            <w:proofErr w:type="spellEnd"/>
            <w:r w:rsidRPr="00BA4AE0">
              <w:rPr>
                <w:rFonts w:ascii="Arial" w:eastAsia="Times New Roman" w:hAnsi="Arial" w:cs="Arial"/>
                <w:color w:val="000000"/>
                <w:lang w:val="en-US"/>
              </w:rPr>
              <w:t xml:space="preserve"> Inc</w:t>
            </w:r>
          </w:p>
        </w:tc>
        <w:tc>
          <w:tcPr>
            <w:tcW w:w="2565" w:type="dxa"/>
            <w:tcBorders>
              <w:top w:val="nil"/>
              <w:left w:val="nil"/>
              <w:bottom w:val="single" w:sz="4" w:space="0" w:color="auto"/>
              <w:right w:val="single" w:sz="4" w:space="0" w:color="auto"/>
            </w:tcBorders>
            <w:shd w:val="clear" w:color="auto" w:fill="auto"/>
            <w:vAlign w:val="center"/>
            <w:hideMark/>
          </w:tcPr>
          <w:p w14:paraId="718B710F"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120</w:t>
            </w:r>
          </w:p>
        </w:tc>
      </w:tr>
      <w:tr w:rsidR="00BA4AE0" w:rsidRPr="00BA4AE0" w14:paraId="1801BD7C"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F7997"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346J</w:t>
            </w:r>
          </w:p>
        </w:tc>
        <w:tc>
          <w:tcPr>
            <w:tcW w:w="5560" w:type="dxa"/>
            <w:tcBorders>
              <w:top w:val="nil"/>
              <w:left w:val="nil"/>
              <w:bottom w:val="single" w:sz="4" w:space="0" w:color="auto"/>
              <w:right w:val="single" w:sz="4" w:space="0" w:color="auto"/>
            </w:tcBorders>
            <w:shd w:val="clear" w:color="auto" w:fill="auto"/>
            <w:vAlign w:val="center"/>
            <w:hideMark/>
          </w:tcPr>
          <w:p w14:paraId="27685B3E" w14:textId="378A42F0" w:rsidR="00BA4AE0" w:rsidRPr="00BA4AE0" w:rsidRDefault="00BA4AE0" w:rsidP="00BA4AE0">
            <w:pPr>
              <w:spacing w:after="0" w:line="240" w:lineRule="auto"/>
              <w:rPr>
                <w:rFonts w:ascii="Arial" w:eastAsia="Times New Roman" w:hAnsi="Arial" w:cs="Arial"/>
                <w:color w:val="000000"/>
                <w:lang w:val="en-US"/>
              </w:rPr>
            </w:pPr>
            <w:proofErr w:type="spellStart"/>
            <w:r w:rsidRPr="00BA4AE0">
              <w:rPr>
                <w:rFonts w:ascii="Arial" w:eastAsia="Times New Roman" w:hAnsi="Arial" w:cs="Arial"/>
                <w:color w:val="000000"/>
                <w:lang w:val="en-US"/>
              </w:rPr>
              <w:t>Iristel</w:t>
            </w:r>
            <w:proofErr w:type="spellEnd"/>
            <w:r w:rsidRPr="00BA4AE0">
              <w:rPr>
                <w:rFonts w:ascii="Arial" w:eastAsia="Times New Roman" w:hAnsi="Arial" w:cs="Arial"/>
                <w:color w:val="000000"/>
                <w:lang w:val="en-US"/>
              </w:rPr>
              <w:t xml:space="preserve"> Inc</w:t>
            </w:r>
          </w:p>
        </w:tc>
        <w:tc>
          <w:tcPr>
            <w:tcW w:w="2565" w:type="dxa"/>
            <w:tcBorders>
              <w:top w:val="nil"/>
              <w:left w:val="nil"/>
              <w:bottom w:val="single" w:sz="4" w:space="0" w:color="auto"/>
              <w:right w:val="single" w:sz="4" w:space="0" w:color="auto"/>
            </w:tcBorders>
            <w:shd w:val="clear" w:color="auto" w:fill="auto"/>
            <w:vAlign w:val="center"/>
            <w:hideMark/>
          </w:tcPr>
          <w:p w14:paraId="698114A4"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50</w:t>
            </w:r>
          </w:p>
        </w:tc>
      </w:tr>
      <w:tr w:rsidR="00BA4AE0" w:rsidRPr="00BA4AE0" w14:paraId="7E1FA675"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CEF2B9"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8821</w:t>
            </w:r>
          </w:p>
        </w:tc>
        <w:tc>
          <w:tcPr>
            <w:tcW w:w="5560" w:type="dxa"/>
            <w:tcBorders>
              <w:top w:val="nil"/>
              <w:left w:val="nil"/>
              <w:bottom w:val="single" w:sz="4" w:space="0" w:color="auto"/>
              <w:right w:val="single" w:sz="4" w:space="0" w:color="auto"/>
            </w:tcBorders>
            <w:shd w:val="clear" w:color="auto" w:fill="auto"/>
            <w:vAlign w:val="center"/>
            <w:hideMark/>
          </w:tcPr>
          <w:p w14:paraId="3F427148" w14:textId="415FBA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Rogers Communications Canada Inc. (Wireless)</w:t>
            </w:r>
          </w:p>
        </w:tc>
        <w:tc>
          <w:tcPr>
            <w:tcW w:w="2565" w:type="dxa"/>
            <w:tcBorders>
              <w:top w:val="nil"/>
              <w:left w:val="nil"/>
              <w:bottom w:val="single" w:sz="4" w:space="0" w:color="auto"/>
              <w:right w:val="single" w:sz="4" w:space="0" w:color="auto"/>
            </w:tcBorders>
            <w:shd w:val="clear" w:color="auto" w:fill="auto"/>
            <w:vAlign w:val="center"/>
            <w:hideMark/>
          </w:tcPr>
          <w:p w14:paraId="7300BB55"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44</w:t>
            </w:r>
          </w:p>
        </w:tc>
      </w:tr>
      <w:tr w:rsidR="00BA4AE0" w:rsidRPr="00BA4AE0" w14:paraId="58B3900F"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41DD01"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9868</w:t>
            </w:r>
          </w:p>
        </w:tc>
        <w:tc>
          <w:tcPr>
            <w:tcW w:w="5560" w:type="dxa"/>
            <w:tcBorders>
              <w:top w:val="nil"/>
              <w:left w:val="nil"/>
              <w:bottom w:val="single" w:sz="4" w:space="0" w:color="auto"/>
              <w:right w:val="single" w:sz="4" w:space="0" w:color="auto"/>
            </w:tcBorders>
            <w:shd w:val="clear" w:color="auto" w:fill="auto"/>
            <w:vAlign w:val="center"/>
            <w:hideMark/>
          </w:tcPr>
          <w:p w14:paraId="3CC824A3" w14:textId="55C3C725"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SaskTel Mobility</w:t>
            </w:r>
          </w:p>
        </w:tc>
        <w:tc>
          <w:tcPr>
            <w:tcW w:w="2565" w:type="dxa"/>
            <w:tcBorders>
              <w:top w:val="nil"/>
              <w:left w:val="nil"/>
              <w:bottom w:val="single" w:sz="4" w:space="0" w:color="auto"/>
              <w:right w:val="single" w:sz="4" w:space="0" w:color="auto"/>
            </w:tcBorders>
            <w:shd w:val="clear" w:color="auto" w:fill="auto"/>
            <w:vAlign w:val="center"/>
            <w:hideMark/>
          </w:tcPr>
          <w:p w14:paraId="653260AC"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3</w:t>
            </w:r>
          </w:p>
        </w:tc>
      </w:tr>
      <w:tr w:rsidR="00BA4AE0" w:rsidRPr="00BA4AE0" w14:paraId="2F5502D2"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AA66AA"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8086</w:t>
            </w:r>
          </w:p>
        </w:tc>
        <w:tc>
          <w:tcPr>
            <w:tcW w:w="5560" w:type="dxa"/>
            <w:tcBorders>
              <w:top w:val="nil"/>
              <w:left w:val="nil"/>
              <w:bottom w:val="single" w:sz="4" w:space="0" w:color="auto"/>
              <w:right w:val="single" w:sz="4" w:space="0" w:color="auto"/>
            </w:tcBorders>
            <w:shd w:val="clear" w:color="auto" w:fill="auto"/>
            <w:vAlign w:val="center"/>
            <w:hideMark/>
          </w:tcPr>
          <w:p w14:paraId="53317215" w14:textId="57E33AAD"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TELUS</w:t>
            </w:r>
          </w:p>
        </w:tc>
        <w:tc>
          <w:tcPr>
            <w:tcW w:w="2565" w:type="dxa"/>
            <w:tcBorders>
              <w:top w:val="nil"/>
              <w:left w:val="nil"/>
              <w:bottom w:val="single" w:sz="4" w:space="0" w:color="auto"/>
              <w:right w:val="single" w:sz="4" w:space="0" w:color="auto"/>
            </w:tcBorders>
            <w:shd w:val="clear" w:color="auto" w:fill="auto"/>
            <w:vAlign w:val="center"/>
            <w:hideMark/>
          </w:tcPr>
          <w:p w14:paraId="2AF25FE1"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7</w:t>
            </w:r>
          </w:p>
        </w:tc>
      </w:tr>
      <w:tr w:rsidR="00BA4AE0" w:rsidRPr="00BA4AE0" w14:paraId="19AA4527" w14:textId="77777777" w:rsidTr="005203A2">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5A0216"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8303</w:t>
            </w:r>
          </w:p>
        </w:tc>
        <w:tc>
          <w:tcPr>
            <w:tcW w:w="5560" w:type="dxa"/>
            <w:tcBorders>
              <w:top w:val="nil"/>
              <w:left w:val="nil"/>
              <w:bottom w:val="single" w:sz="4" w:space="0" w:color="auto"/>
              <w:right w:val="single" w:sz="4" w:space="0" w:color="auto"/>
            </w:tcBorders>
            <w:shd w:val="clear" w:color="auto" w:fill="auto"/>
            <w:vAlign w:val="center"/>
            <w:hideMark/>
          </w:tcPr>
          <w:p w14:paraId="770EF0FD" w14:textId="2E4875A9"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TELUS Mobility</w:t>
            </w:r>
          </w:p>
        </w:tc>
        <w:tc>
          <w:tcPr>
            <w:tcW w:w="2565" w:type="dxa"/>
            <w:tcBorders>
              <w:top w:val="nil"/>
              <w:left w:val="nil"/>
              <w:bottom w:val="single" w:sz="4" w:space="0" w:color="auto"/>
              <w:right w:val="single" w:sz="4" w:space="0" w:color="auto"/>
            </w:tcBorders>
            <w:shd w:val="clear" w:color="auto" w:fill="auto"/>
            <w:vAlign w:val="center"/>
            <w:hideMark/>
          </w:tcPr>
          <w:p w14:paraId="13400270" w14:textId="77777777" w:rsidR="00BA4AE0" w:rsidRPr="00BA4AE0" w:rsidRDefault="00BA4AE0" w:rsidP="00BA4AE0">
            <w:pPr>
              <w:spacing w:after="0" w:line="240" w:lineRule="auto"/>
              <w:rPr>
                <w:rFonts w:ascii="Arial" w:eastAsia="Times New Roman" w:hAnsi="Arial" w:cs="Arial"/>
                <w:color w:val="000000"/>
                <w:lang w:val="en-US"/>
              </w:rPr>
            </w:pPr>
            <w:r w:rsidRPr="00BA4AE0">
              <w:rPr>
                <w:rFonts w:ascii="Arial" w:eastAsia="Times New Roman" w:hAnsi="Arial" w:cs="Arial"/>
                <w:color w:val="000000"/>
                <w:lang w:val="en-US"/>
              </w:rPr>
              <w:t>712</w:t>
            </w:r>
          </w:p>
        </w:tc>
      </w:tr>
    </w:tbl>
    <w:p w14:paraId="7DAD6FB6" w14:textId="77777777" w:rsidR="008E5FE5" w:rsidRDefault="008E5FE5" w:rsidP="004735D2">
      <w:pPr>
        <w:rPr>
          <w:rFonts w:ascii="Arial" w:hAnsi="Arial" w:cs="Arial"/>
          <w:lang w:val="en-US"/>
        </w:rPr>
      </w:pPr>
    </w:p>
    <w:p w14:paraId="23A6A8E8" w14:textId="2D024B49" w:rsidR="00FA0AAA" w:rsidRDefault="00557E4D" w:rsidP="004735D2">
      <w:pPr>
        <w:rPr>
          <w:rFonts w:ascii="Arial" w:hAnsi="Arial" w:cs="Arial"/>
          <w:lang w:val="en-US"/>
        </w:rPr>
      </w:pPr>
      <w:r>
        <w:rPr>
          <w:rFonts w:ascii="Arial" w:hAnsi="Arial" w:cs="Arial"/>
          <w:lang w:val="en-US"/>
        </w:rPr>
        <w:t xml:space="preserve">The </w:t>
      </w:r>
      <w:r w:rsidR="000015FA">
        <w:rPr>
          <w:rFonts w:ascii="Arial" w:hAnsi="Arial" w:cs="Arial"/>
          <w:lang w:val="en-US"/>
        </w:rPr>
        <w:t>January 2025</w:t>
      </w:r>
      <w:r>
        <w:rPr>
          <w:rFonts w:ascii="Arial" w:hAnsi="Arial" w:cs="Arial"/>
          <w:lang w:val="en-US"/>
        </w:rPr>
        <w:t xml:space="preserve"> NRUF forecast notes that in the next 22 years</w:t>
      </w:r>
      <w:r w:rsidR="00BD7CC6">
        <w:rPr>
          <w:rFonts w:ascii="Arial" w:hAnsi="Arial" w:cs="Arial"/>
          <w:lang w:val="en-US"/>
        </w:rPr>
        <w:t xml:space="preserve">, </w:t>
      </w:r>
      <w:r w:rsidR="008F46DE">
        <w:rPr>
          <w:rFonts w:ascii="Arial" w:hAnsi="Arial" w:cs="Arial"/>
          <w:lang w:val="en-US"/>
        </w:rPr>
        <w:t>8,433</w:t>
      </w:r>
      <w:r w:rsidR="00BD7CC6">
        <w:rPr>
          <w:rFonts w:ascii="Arial" w:hAnsi="Arial" w:cs="Arial"/>
          <w:lang w:val="en-US"/>
        </w:rPr>
        <w:t xml:space="preserve"> blocks of 10,000 </w:t>
      </w:r>
      <w:r w:rsidR="002477F0">
        <w:rPr>
          <w:rFonts w:ascii="Arial" w:hAnsi="Arial" w:cs="Arial"/>
          <w:lang w:val="en-US"/>
        </w:rPr>
        <w:t xml:space="preserve">6YY </w:t>
      </w:r>
      <w:r w:rsidR="00BD7CC6">
        <w:rPr>
          <w:rFonts w:ascii="Arial" w:hAnsi="Arial" w:cs="Arial"/>
          <w:lang w:val="en-US"/>
        </w:rPr>
        <w:t>TNs</w:t>
      </w:r>
      <w:r w:rsidR="00E936E0">
        <w:rPr>
          <w:rFonts w:ascii="Arial" w:hAnsi="Arial" w:cs="Arial"/>
          <w:lang w:val="en-US"/>
        </w:rPr>
        <w:t xml:space="preserve"> will be required. </w:t>
      </w:r>
      <w:r w:rsidR="002477F0">
        <w:rPr>
          <w:rFonts w:ascii="Arial" w:hAnsi="Arial" w:cs="Arial"/>
          <w:lang w:val="en-US"/>
        </w:rPr>
        <w:t>If a 1</w:t>
      </w:r>
      <w:r w:rsidR="00600F9A">
        <w:rPr>
          <w:rFonts w:ascii="Arial" w:hAnsi="Arial" w:cs="Arial"/>
          <w:lang w:val="en-US"/>
        </w:rPr>
        <w:t>+</w:t>
      </w:r>
      <w:r w:rsidR="002477F0">
        <w:rPr>
          <w:rFonts w:ascii="Arial" w:hAnsi="Arial" w:cs="Arial"/>
          <w:lang w:val="en-US"/>
        </w:rPr>
        <w:t>14</w:t>
      </w:r>
      <w:r w:rsidR="00BE076D">
        <w:rPr>
          <w:rFonts w:ascii="Arial" w:hAnsi="Arial" w:cs="Arial"/>
          <w:lang w:val="en-US"/>
        </w:rPr>
        <w:t>-</w:t>
      </w:r>
      <w:r w:rsidR="002477F0">
        <w:rPr>
          <w:rFonts w:ascii="Arial" w:hAnsi="Arial" w:cs="Arial"/>
          <w:lang w:val="en-US"/>
        </w:rPr>
        <w:t>digit NPA were used to address this forecast demand, t</w:t>
      </w:r>
      <w:r w:rsidR="00E936E0">
        <w:rPr>
          <w:rFonts w:ascii="Arial" w:hAnsi="Arial" w:cs="Arial"/>
          <w:lang w:val="en-US"/>
        </w:rPr>
        <w:t xml:space="preserve">hat means that after 22 years, there would still be </w:t>
      </w:r>
      <w:r w:rsidR="00A73479" w:rsidRPr="00A73479">
        <w:rPr>
          <w:rFonts w:ascii="Arial" w:hAnsi="Arial" w:cs="Arial"/>
          <w:lang w:val="en-US"/>
        </w:rPr>
        <w:t>9</w:t>
      </w:r>
      <w:r w:rsidR="00BE2D5C">
        <w:rPr>
          <w:rFonts w:ascii="Arial" w:hAnsi="Arial" w:cs="Arial"/>
          <w:lang w:val="en-US"/>
        </w:rPr>
        <w:t>,</w:t>
      </w:r>
      <w:r w:rsidR="00A73479" w:rsidRPr="00A73479">
        <w:rPr>
          <w:rFonts w:ascii="Arial" w:hAnsi="Arial" w:cs="Arial"/>
          <w:lang w:val="en-US"/>
        </w:rPr>
        <w:t>991</w:t>
      </w:r>
      <w:r w:rsidR="00BE2D5C">
        <w:rPr>
          <w:rFonts w:ascii="Arial" w:hAnsi="Arial" w:cs="Arial"/>
          <w:lang w:val="en-US"/>
        </w:rPr>
        <w:t>,</w:t>
      </w:r>
      <w:r w:rsidR="00A73479" w:rsidRPr="00A73479">
        <w:rPr>
          <w:rFonts w:ascii="Arial" w:hAnsi="Arial" w:cs="Arial"/>
          <w:lang w:val="en-US"/>
        </w:rPr>
        <w:t>567</w:t>
      </w:r>
      <w:r w:rsidR="00944DB4" w:rsidRPr="00944DB4">
        <w:rPr>
          <w:rFonts w:ascii="Arial" w:hAnsi="Arial" w:cs="Arial"/>
          <w:lang w:val="en-US"/>
        </w:rPr>
        <w:t xml:space="preserve"> </w:t>
      </w:r>
      <w:r w:rsidR="00944DB4">
        <w:rPr>
          <w:rFonts w:ascii="Arial" w:hAnsi="Arial" w:cs="Arial"/>
          <w:lang w:val="en-US"/>
        </w:rPr>
        <w:t>(</w:t>
      </w:r>
      <w:r w:rsidR="00C34156">
        <w:rPr>
          <w:rFonts w:ascii="Arial" w:hAnsi="Arial" w:cs="Arial"/>
          <w:lang w:val="en-US"/>
        </w:rPr>
        <w:t xml:space="preserve">10,000,000 </w:t>
      </w:r>
      <w:r w:rsidR="002027C4">
        <w:rPr>
          <w:rFonts w:ascii="Arial" w:hAnsi="Arial" w:cs="Arial"/>
          <w:lang w:val="en-US"/>
        </w:rPr>
        <w:t xml:space="preserve">minus </w:t>
      </w:r>
      <w:r w:rsidR="008F46DE">
        <w:rPr>
          <w:rFonts w:ascii="Arial" w:hAnsi="Arial" w:cs="Arial"/>
          <w:lang w:val="en-US"/>
        </w:rPr>
        <w:t>8,433</w:t>
      </w:r>
      <w:r w:rsidR="00944DB4">
        <w:rPr>
          <w:rFonts w:ascii="Arial" w:hAnsi="Arial" w:cs="Arial"/>
          <w:lang w:val="en-US"/>
        </w:rPr>
        <w:t>)</w:t>
      </w:r>
      <w:r w:rsidR="00C34156">
        <w:rPr>
          <w:rFonts w:ascii="Arial" w:hAnsi="Arial" w:cs="Arial"/>
          <w:lang w:val="en-US"/>
        </w:rPr>
        <w:t xml:space="preserve"> blocks available for assignment in just </w:t>
      </w:r>
      <w:r w:rsidR="002477F0">
        <w:rPr>
          <w:rFonts w:ascii="Arial" w:hAnsi="Arial" w:cs="Arial"/>
          <w:lang w:val="en-US"/>
        </w:rPr>
        <w:t>one</w:t>
      </w:r>
      <w:r w:rsidR="00C34156">
        <w:rPr>
          <w:rFonts w:ascii="Arial" w:hAnsi="Arial" w:cs="Arial"/>
          <w:lang w:val="en-US"/>
        </w:rPr>
        <w:t xml:space="preserve"> 1+14-digit NPA.</w:t>
      </w:r>
      <w:r w:rsidR="002477F0">
        <w:rPr>
          <w:rFonts w:ascii="Arial" w:hAnsi="Arial" w:cs="Arial"/>
          <w:lang w:val="en-US"/>
        </w:rPr>
        <w:t xml:space="preserve"> </w:t>
      </w:r>
      <w:r w:rsidR="0085070A">
        <w:rPr>
          <w:rFonts w:ascii="Arial" w:hAnsi="Arial" w:cs="Arial"/>
          <w:lang w:val="en-US"/>
        </w:rPr>
        <w:t xml:space="preserve">The CSCN believes that </w:t>
      </w:r>
      <w:r w:rsidR="009258B6">
        <w:rPr>
          <w:rFonts w:ascii="Arial" w:hAnsi="Arial" w:cs="Arial"/>
          <w:lang w:val="en-US"/>
        </w:rPr>
        <w:t xml:space="preserve">a </w:t>
      </w:r>
      <w:r w:rsidR="002477F0">
        <w:rPr>
          <w:rFonts w:ascii="Arial" w:hAnsi="Arial" w:cs="Arial"/>
          <w:lang w:val="en-US"/>
        </w:rPr>
        <w:t>1+</w:t>
      </w:r>
      <w:r w:rsidR="00BE076D">
        <w:rPr>
          <w:rFonts w:ascii="Arial" w:hAnsi="Arial" w:cs="Arial"/>
          <w:lang w:val="en-US"/>
        </w:rPr>
        <w:t>14-</w:t>
      </w:r>
      <w:r w:rsidR="002477F0">
        <w:rPr>
          <w:rFonts w:ascii="Arial" w:hAnsi="Arial" w:cs="Arial"/>
          <w:lang w:val="en-US"/>
        </w:rPr>
        <w:t>digit NPA</w:t>
      </w:r>
      <w:r w:rsidR="00A3509F">
        <w:rPr>
          <w:rFonts w:ascii="Arial" w:hAnsi="Arial" w:cs="Arial"/>
          <w:lang w:val="en-US"/>
        </w:rPr>
        <w:t xml:space="preserve"> </w:t>
      </w:r>
      <w:r w:rsidR="0085070A">
        <w:rPr>
          <w:rFonts w:ascii="Arial" w:hAnsi="Arial" w:cs="Arial"/>
          <w:lang w:val="en-US"/>
        </w:rPr>
        <w:t xml:space="preserve">will </w:t>
      </w:r>
      <w:r w:rsidR="00A9428B">
        <w:rPr>
          <w:rFonts w:ascii="Arial" w:hAnsi="Arial" w:cs="Arial"/>
          <w:lang w:val="en-US"/>
        </w:rPr>
        <w:t xml:space="preserve">likely </w:t>
      </w:r>
      <w:r w:rsidR="0085070A">
        <w:rPr>
          <w:rFonts w:ascii="Arial" w:hAnsi="Arial" w:cs="Arial"/>
          <w:lang w:val="en-US"/>
        </w:rPr>
        <w:t xml:space="preserve">have a significantly long lifespan </w:t>
      </w:r>
      <w:r w:rsidR="00A3509F">
        <w:rPr>
          <w:rFonts w:ascii="Arial" w:hAnsi="Arial" w:cs="Arial"/>
          <w:lang w:val="en-US"/>
        </w:rPr>
        <w:t>based on current forecasts</w:t>
      </w:r>
      <w:r w:rsidR="0085070A">
        <w:rPr>
          <w:rFonts w:ascii="Arial" w:hAnsi="Arial" w:cs="Arial"/>
          <w:lang w:val="en-US"/>
        </w:rPr>
        <w:t>.</w:t>
      </w:r>
    </w:p>
    <w:p w14:paraId="773F2C21" w14:textId="64352BB9" w:rsidR="00056981" w:rsidRPr="00056981" w:rsidRDefault="00335DF0" w:rsidP="00056981">
      <w:pPr>
        <w:rPr>
          <w:rFonts w:ascii="Arial" w:hAnsi="Arial" w:cs="Arial"/>
        </w:rPr>
      </w:pPr>
      <w:r>
        <w:rPr>
          <w:rFonts w:ascii="Arial" w:hAnsi="Arial" w:cs="Arial"/>
          <w:lang w:val="en-US"/>
        </w:rPr>
        <w:t>The CSCN</w:t>
      </w:r>
      <w:r w:rsidR="002040D5" w:rsidRPr="002634BA">
        <w:rPr>
          <w:rFonts w:ascii="Arial" w:hAnsi="Arial" w:cs="Arial"/>
          <w:lang w:val="en-US"/>
        </w:rPr>
        <w:t xml:space="preserve"> </w:t>
      </w:r>
      <w:r w:rsidR="00CE3CD0" w:rsidRPr="002634BA">
        <w:rPr>
          <w:rFonts w:ascii="Arial" w:hAnsi="Arial" w:cs="Arial"/>
          <w:lang w:val="en-US"/>
        </w:rPr>
        <w:t xml:space="preserve">noted that </w:t>
      </w:r>
      <w:r w:rsidR="00C274A8" w:rsidRPr="002634BA">
        <w:rPr>
          <w:rFonts w:ascii="Arial" w:hAnsi="Arial" w:cs="Arial"/>
          <w:lang w:val="en-US"/>
        </w:rPr>
        <w:t xml:space="preserve">using a block size </w:t>
      </w:r>
      <w:r w:rsidR="00D67156">
        <w:rPr>
          <w:rFonts w:ascii="Arial" w:hAnsi="Arial" w:cs="Arial"/>
          <w:lang w:val="en-US"/>
        </w:rPr>
        <w:t>larger</w:t>
      </w:r>
      <w:r w:rsidR="00D67156" w:rsidRPr="002634BA">
        <w:rPr>
          <w:rFonts w:ascii="Arial" w:hAnsi="Arial" w:cs="Arial"/>
          <w:lang w:val="en-US"/>
        </w:rPr>
        <w:t xml:space="preserve"> </w:t>
      </w:r>
      <w:r w:rsidR="00C274A8" w:rsidRPr="002634BA">
        <w:rPr>
          <w:rFonts w:ascii="Arial" w:hAnsi="Arial" w:cs="Arial"/>
          <w:lang w:val="en-US"/>
        </w:rPr>
        <w:t xml:space="preserve">than the 10K block would require extensive </w:t>
      </w:r>
      <w:r w:rsidR="002477F0">
        <w:rPr>
          <w:rFonts w:ascii="Arial" w:hAnsi="Arial" w:cs="Arial"/>
          <w:lang w:val="en-US"/>
        </w:rPr>
        <w:t xml:space="preserve">IT and network infrastructure </w:t>
      </w:r>
      <w:r w:rsidR="00C274A8" w:rsidRPr="002634BA">
        <w:rPr>
          <w:rFonts w:ascii="Arial" w:hAnsi="Arial" w:cs="Arial"/>
          <w:lang w:val="en-US"/>
        </w:rPr>
        <w:t>regression testing</w:t>
      </w:r>
      <w:r w:rsidR="005737C9">
        <w:rPr>
          <w:rFonts w:ascii="Arial" w:hAnsi="Arial" w:cs="Arial"/>
          <w:lang w:val="en-US"/>
        </w:rPr>
        <w:t xml:space="preserve">. </w:t>
      </w:r>
      <w:r w:rsidR="007104D7">
        <w:rPr>
          <w:rFonts w:ascii="Arial" w:hAnsi="Arial" w:cs="Arial"/>
          <w:lang w:val="en-US"/>
        </w:rPr>
        <w:t>Further</w:t>
      </w:r>
      <w:r w:rsidR="003240FD">
        <w:rPr>
          <w:rFonts w:ascii="Arial" w:hAnsi="Arial" w:cs="Arial"/>
          <w:lang w:val="en-US"/>
        </w:rPr>
        <w:t>,</w:t>
      </w:r>
      <w:r w:rsidR="007104D7">
        <w:rPr>
          <w:rFonts w:ascii="Arial" w:hAnsi="Arial" w:cs="Arial"/>
          <w:lang w:val="en-US"/>
        </w:rPr>
        <w:t xml:space="preserve"> using a block size</w:t>
      </w:r>
      <w:r w:rsidR="00145D31">
        <w:rPr>
          <w:rFonts w:ascii="Arial" w:hAnsi="Arial" w:cs="Arial"/>
          <w:lang w:val="en-US"/>
        </w:rPr>
        <w:t xml:space="preserve"> </w:t>
      </w:r>
      <w:r w:rsidR="003C2D1B">
        <w:rPr>
          <w:rFonts w:ascii="Arial" w:hAnsi="Arial" w:cs="Arial"/>
          <w:lang w:val="en-US"/>
        </w:rPr>
        <w:t xml:space="preserve">greater than </w:t>
      </w:r>
      <w:r w:rsidR="0096156B">
        <w:rPr>
          <w:rFonts w:ascii="Arial" w:hAnsi="Arial" w:cs="Arial"/>
          <w:lang w:val="en-US"/>
        </w:rPr>
        <w:t xml:space="preserve">10K </w:t>
      </w:r>
      <w:r w:rsidR="007104D7">
        <w:rPr>
          <w:rFonts w:ascii="Arial" w:hAnsi="Arial" w:cs="Arial"/>
          <w:lang w:val="en-US"/>
        </w:rPr>
        <w:t xml:space="preserve">could leave more unused TNs in a block </w:t>
      </w:r>
      <w:r w:rsidR="007F3BE5">
        <w:rPr>
          <w:rFonts w:ascii="Arial" w:hAnsi="Arial" w:cs="Arial"/>
          <w:lang w:val="en-US"/>
        </w:rPr>
        <w:t xml:space="preserve">when a smaller amount is needed. </w:t>
      </w:r>
      <w:r w:rsidR="00056981">
        <w:rPr>
          <w:rFonts w:ascii="Arial" w:hAnsi="Arial" w:cs="Arial"/>
          <w:lang w:val="en-US"/>
        </w:rPr>
        <w:t xml:space="preserve"> </w:t>
      </w:r>
      <w:r w:rsidR="006D79B8" w:rsidRPr="006D79B8">
        <w:rPr>
          <w:rFonts w:ascii="Arial" w:hAnsi="Arial" w:cs="Arial"/>
          <w:lang w:val="en-US"/>
        </w:rPr>
        <w:t xml:space="preserve">Carriers that </w:t>
      </w:r>
      <w:r w:rsidR="006D79B8">
        <w:rPr>
          <w:rFonts w:ascii="Arial" w:hAnsi="Arial" w:cs="Arial"/>
          <w:lang w:val="en-US"/>
        </w:rPr>
        <w:t>require</w:t>
      </w:r>
      <w:r w:rsidR="006D79B8" w:rsidRPr="006D79B8">
        <w:rPr>
          <w:rFonts w:ascii="Arial" w:hAnsi="Arial" w:cs="Arial"/>
          <w:lang w:val="en-US"/>
        </w:rPr>
        <w:t xml:space="preserve"> more than 10,000 TNs can request multiple blocks</w:t>
      </w:r>
      <w:r w:rsidR="006D79B8">
        <w:rPr>
          <w:rFonts w:ascii="Arial" w:hAnsi="Arial" w:cs="Arial"/>
          <w:lang w:val="en-US"/>
        </w:rPr>
        <w:t xml:space="preserve"> to meet their demand </w:t>
      </w:r>
      <w:r w:rsidR="00FC7B0E">
        <w:rPr>
          <w:rFonts w:ascii="Arial" w:hAnsi="Arial" w:cs="Arial"/>
          <w:lang w:val="en-US"/>
        </w:rPr>
        <w:t xml:space="preserve">forecasts. </w:t>
      </w:r>
      <w:r w:rsidR="005737C9">
        <w:rPr>
          <w:rFonts w:ascii="Arial" w:hAnsi="Arial" w:cs="Arial"/>
          <w:lang w:val="en-US"/>
        </w:rPr>
        <w:t>Therefore,</w:t>
      </w:r>
      <w:r w:rsidR="00A51046">
        <w:rPr>
          <w:rFonts w:ascii="Arial" w:hAnsi="Arial" w:cs="Arial"/>
          <w:lang w:val="en-US"/>
        </w:rPr>
        <w:t xml:space="preserve"> </w:t>
      </w:r>
      <w:proofErr w:type="gramStart"/>
      <w:r w:rsidR="005737C9">
        <w:rPr>
          <w:rFonts w:ascii="Arial" w:hAnsi="Arial" w:cs="Arial"/>
          <w:lang w:val="en-US"/>
        </w:rPr>
        <w:t>t</w:t>
      </w:r>
      <w:r w:rsidR="0081516B">
        <w:rPr>
          <w:rFonts w:ascii="Arial" w:hAnsi="Arial" w:cs="Arial"/>
          <w:lang w:val="en-US"/>
        </w:rPr>
        <w:t>he CSCN’s</w:t>
      </w:r>
      <w:proofErr w:type="gramEnd"/>
      <w:r w:rsidR="0081516B">
        <w:rPr>
          <w:rFonts w:ascii="Arial" w:hAnsi="Arial" w:cs="Arial"/>
          <w:lang w:val="en-US"/>
        </w:rPr>
        <w:t xml:space="preserve"> </w:t>
      </w:r>
      <w:r w:rsidR="00A51046">
        <w:rPr>
          <w:rFonts w:ascii="Arial" w:hAnsi="Arial" w:cs="Arial"/>
          <w:lang w:val="en-US"/>
        </w:rPr>
        <w:t xml:space="preserve">recommendation is to assign numbers </w:t>
      </w:r>
      <w:r w:rsidR="0080540A">
        <w:rPr>
          <w:rFonts w:ascii="Arial" w:hAnsi="Arial" w:cs="Arial"/>
          <w:lang w:val="en-US"/>
        </w:rPr>
        <w:t>based on the</w:t>
      </w:r>
      <w:r w:rsidR="007F412F">
        <w:rPr>
          <w:rFonts w:ascii="Arial" w:hAnsi="Arial" w:cs="Arial"/>
          <w:lang w:val="en-US"/>
        </w:rPr>
        <w:t xml:space="preserve"> </w:t>
      </w:r>
      <w:r w:rsidR="002477F0">
        <w:rPr>
          <w:rFonts w:ascii="Arial" w:hAnsi="Arial" w:cs="Arial"/>
          <w:lang w:val="en-US"/>
        </w:rPr>
        <w:t>DEF-GHIJ block identifiers</w:t>
      </w:r>
      <w:r w:rsidR="00056981">
        <w:rPr>
          <w:rFonts w:ascii="Arial" w:hAnsi="Arial" w:cs="Arial"/>
          <w:lang w:val="en-US"/>
        </w:rPr>
        <w:t>,</w:t>
      </w:r>
      <w:r w:rsidR="0080540A">
        <w:rPr>
          <w:rFonts w:ascii="Arial" w:hAnsi="Arial" w:cs="Arial"/>
          <w:lang w:val="en-US"/>
        </w:rPr>
        <w:t xml:space="preserve"> </w:t>
      </w:r>
      <w:r w:rsidR="00056981" w:rsidRPr="00056981">
        <w:rPr>
          <w:rFonts w:ascii="Arial" w:hAnsi="Arial" w:cs="Arial"/>
        </w:rPr>
        <w:t>which would provide 10 million blocks of 10,000 TNs per NPA.</w:t>
      </w:r>
    </w:p>
    <w:p w14:paraId="76595CD8" w14:textId="77777777" w:rsidR="00111674" w:rsidRDefault="00111674" w:rsidP="004735D2">
      <w:pPr>
        <w:rPr>
          <w:rFonts w:ascii="Arial" w:hAnsi="Arial" w:cs="Arial"/>
          <w:lang w:val="en-US"/>
        </w:rPr>
      </w:pPr>
    </w:p>
    <w:p w14:paraId="632F3E21" w14:textId="04008482" w:rsidR="00A22845" w:rsidRDefault="00DE1459" w:rsidP="00A22845">
      <w:pPr>
        <w:pStyle w:val="Heading1"/>
        <w:numPr>
          <w:ilvl w:val="0"/>
          <w:numId w:val="9"/>
        </w:numPr>
        <w:ind w:left="720" w:hanging="720"/>
        <w:rPr>
          <w:rFonts w:ascii="Arial" w:hAnsi="Arial"/>
          <w:sz w:val="24"/>
          <w:szCs w:val="24"/>
        </w:rPr>
      </w:pPr>
      <w:r>
        <w:rPr>
          <w:rFonts w:ascii="Arial" w:hAnsi="Arial"/>
          <w:sz w:val="24"/>
          <w:szCs w:val="24"/>
        </w:rPr>
        <w:t>Conclusions</w:t>
      </w:r>
    </w:p>
    <w:p w14:paraId="61C4E15A" w14:textId="77777777" w:rsidR="00D05515" w:rsidRPr="00A535D6" w:rsidRDefault="00D05515" w:rsidP="00A535D6"/>
    <w:p w14:paraId="23C3E83B" w14:textId="2E263D3B" w:rsidR="00A30C00" w:rsidRDefault="00D05515" w:rsidP="00FF2746">
      <w:pPr>
        <w:rPr>
          <w:rFonts w:ascii="Arial" w:hAnsi="Arial" w:cs="Arial"/>
        </w:rPr>
      </w:pPr>
      <w:r w:rsidRPr="00A535D6">
        <w:rPr>
          <w:rFonts w:ascii="Arial" w:hAnsi="Arial" w:cs="Arial"/>
        </w:rPr>
        <w:t xml:space="preserve">The </w:t>
      </w:r>
      <w:r w:rsidR="003D5EB8">
        <w:rPr>
          <w:rFonts w:ascii="Arial" w:hAnsi="Arial" w:cs="Arial"/>
        </w:rPr>
        <w:t xml:space="preserve">CSCN </w:t>
      </w:r>
      <w:r w:rsidR="00E77FB9">
        <w:rPr>
          <w:rFonts w:ascii="Arial" w:hAnsi="Arial" w:cs="Arial"/>
        </w:rPr>
        <w:t xml:space="preserve">has determined that </w:t>
      </w:r>
      <w:r w:rsidR="006A220C">
        <w:rPr>
          <w:rFonts w:ascii="Arial" w:hAnsi="Arial" w:cs="Arial"/>
        </w:rPr>
        <w:t>the expanded digit format</w:t>
      </w:r>
      <w:r w:rsidR="00DE2F7A">
        <w:rPr>
          <w:rFonts w:ascii="Arial" w:hAnsi="Arial" w:cs="Arial"/>
        </w:rPr>
        <w:t xml:space="preserve"> would</w:t>
      </w:r>
      <w:r w:rsidR="00A30C00" w:rsidRPr="00A30C00">
        <w:rPr>
          <w:rFonts w:ascii="Arial" w:hAnsi="Arial" w:cs="Arial"/>
        </w:rPr>
        <w:t xml:space="preserve"> require significant investment in network infrastructure, support systems, and the CNA's numbering administration system. As such, </w:t>
      </w:r>
      <w:r w:rsidR="00A22C65">
        <w:rPr>
          <w:rFonts w:ascii="Arial" w:hAnsi="Arial" w:cs="Arial"/>
        </w:rPr>
        <w:t>after</w:t>
      </w:r>
      <w:r w:rsidR="00A30C00" w:rsidRPr="00A30C00">
        <w:rPr>
          <w:rFonts w:ascii="Arial" w:hAnsi="Arial" w:cs="Arial"/>
        </w:rPr>
        <w:t xml:space="preserve"> </w:t>
      </w:r>
      <w:r w:rsidR="00406B30">
        <w:rPr>
          <w:rFonts w:ascii="Arial" w:hAnsi="Arial" w:cs="Arial"/>
        </w:rPr>
        <w:t xml:space="preserve">the </w:t>
      </w:r>
      <w:r w:rsidR="00A30C00" w:rsidRPr="00A30C00">
        <w:rPr>
          <w:rFonts w:ascii="Arial" w:hAnsi="Arial" w:cs="Arial"/>
        </w:rPr>
        <w:t xml:space="preserve">CRTC </w:t>
      </w:r>
      <w:r w:rsidR="00406B30">
        <w:rPr>
          <w:rFonts w:ascii="Arial" w:hAnsi="Arial" w:cs="Arial"/>
        </w:rPr>
        <w:t xml:space="preserve">issues a </w:t>
      </w:r>
      <w:r w:rsidR="00A30C00" w:rsidRPr="00A30C00">
        <w:rPr>
          <w:rFonts w:ascii="Arial" w:hAnsi="Arial" w:cs="Arial"/>
        </w:rPr>
        <w:t>Decision</w:t>
      </w:r>
      <w:r w:rsidR="00196D56">
        <w:rPr>
          <w:rFonts w:ascii="Arial" w:hAnsi="Arial" w:cs="Arial"/>
        </w:rPr>
        <w:t xml:space="preserve">, </w:t>
      </w:r>
      <w:r w:rsidR="00E43A83">
        <w:rPr>
          <w:rFonts w:ascii="Arial" w:hAnsi="Arial" w:cs="Arial"/>
        </w:rPr>
        <w:t xml:space="preserve">the industry would require 3 years to </w:t>
      </w:r>
      <w:r w:rsidR="00E55E94">
        <w:rPr>
          <w:rFonts w:ascii="Arial" w:hAnsi="Arial" w:cs="Arial"/>
        </w:rPr>
        <w:t xml:space="preserve">implement this option. </w:t>
      </w:r>
      <w:r w:rsidR="002B6FF1">
        <w:rPr>
          <w:rFonts w:ascii="Arial" w:hAnsi="Arial" w:cs="Arial"/>
        </w:rPr>
        <w:t xml:space="preserve">After the Decision, the CSCN would </w:t>
      </w:r>
      <w:r w:rsidR="00E9540F">
        <w:rPr>
          <w:rFonts w:ascii="Arial" w:hAnsi="Arial" w:cs="Arial"/>
        </w:rPr>
        <w:t xml:space="preserve">also </w:t>
      </w:r>
      <w:r w:rsidR="002B6FF1">
        <w:rPr>
          <w:rFonts w:ascii="Arial" w:hAnsi="Arial" w:cs="Arial"/>
        </w:rPr>
        <w:t xml:space="preserve">need to update </w:t>
      </w:r>
      <w:r w:rsidR="00E43A83">
        <w:rPr>
          <w:rFonts w:ascii="Arial" w:hAnsi="Arial" w:cs="Arial"/>
        </w:rPr>
        <w:t xml:space="preserve">the </w:t>
      </w:r>
      <w:r w:rsidR="002B6FF1" w:rsidRPr="002634BA">
        <w:rPr>
          <w:rFonts w:ascii="Arial" w:hAnsi="Arial" w:cs="Arial"/>
          <w:i/>
          <w:iCs/>
        </w:rPr>
        <w:t>Canadian Non-Geographic Code Assignment Guideline</w:t>
      </w:r>
      <w:r w:rsidR="00E9540F">
        <w:rPr>
          <w:rFonts w:ascii="Arial" w:hAnsi="Arial" w:cs="Arial"/>
          <w:i/>
          <w:iCs/>
        </w:rPr>
        <w:t>.</w:t>
      </w:r>
      <w:r w:rsidR="00A30C00" w:rsidRPr="00A30C00">
        <w:rPr>
          <w:rFonts w:ascii="Arial" w:hAnsi="Arial" w:cs="Arial"/>
        </w:rPr>
        <w:t xml:space="preserve"> Should Canada’s current </w:t>
      </w:r>
      <w:r w:rsidR="007B1B40">
        <w:rPr>
          <w:rFonts w:ascii="Arial" w:hAnsi="Arial" w:cs="Arial"/>
        </w:rPr>
        <w:t xml:space="preserve">non-geographic </w:t>
      </w:r>
      <w:r w:rsidR="00A30C00" w:rsidRPr="00A30C00">
        <w:rPr>
          <w:rFonts w:ascii="Arial" w:hAnsi="Arial" w:cs="Arial"/>
        </w:rPr>
        <w:t>number</w:t>
      </w:r>
      <w:r w:rsidR="007B1B40">
        <w:rPr>
          <w:rFonts w:ascii="Arial" w:hAnsi="Arial" w:cs="Arial"/>
        </w:rPr>
        <w:t>ing</w:t>
      </w:r>
      <w:r w:rsidR="00A30C00" w:rsidRPr="00A30C00">
        <w:rPr>
          <w:rFonts w:ascii="Arial" w:hAnsi="Arial" w:cs="Arial"/>
        </w:rPr>
        <w:t xml:space="preserve"> inventory deplete, prior to the implementation of the 1+</w:t>
      </w:r>
      <w:r w:rsidR="007B1B40" w:rsidRPr="00A30C00">
        <w:rPr>
          <w:rFonts w:ascii="Arial" w:hAnsi="Arial" w:cs="Arial"/>
        </w:rPr>
        <w:t>14</w:t>
      </w:r>
      <w:r w:rsidR="007B1B40">
        <w:rPr>
          <w:rFonts w:ascii="Arial" w:hAnsi="Arial" w:cs="Arial"/>
        </w:rPr>
        <w:t>-</w:t>
      </w:r>
      <w:r w:rsidR="00A30C00" w:rsidRPr="00A30C00">
        <w:rPr>
          <w:rFonts w:ascii="Arial" w:hAnsi="Arial" w:cs="Arial"/>
        </w:rPr>
        <w:t xml:space="preserve">digit solution, or another solution is ultimately </w:t>
      </w:r>
      <w:r w:rsidR="00A30C00" w:rsidRPr="00A30C00">
        <w:rPr>
          <w:rFonts w:ascii="Arial" w:hAnsi="Arial" w:cs="Arial"/>
        </w:rPr>
        <w:lastRenderedPageBreak/>
        <w:t xml:space="preserve">adopted, the CSCN recommends requesting additional non-geographic resources from NANPA for allocation in Canada. </w:t>
      </w:r>
    </w:p>
    <w:p w14:paraId="42BA5A58" w14:textId="0C07D3AF" w:rsidR="00A97BB7" w:rsidRDefault="00635F8F" w:rsidP="00FF2746">
      <w:pPr>
        <w:rPr>
          <w:rFonts w:ascii="Arial" w:hAnsi="Arial" w:cs="Arial"/>
        </w:rPr>
      </w:pPr>
      <w:r w:rsidRPr="002634BA">
        <w:rPr>
          <w:rFonts w:ascii="Arial" w:hAnsi="Arial" w:cs="Arial"/>
        </w:rPr>
        <w:t>The CSCN notes that I</w:t>
      </w:r>
      <w:r w:rsidR="00DC0B3D" w:rsidRPr="002634BA">
        <w:rPr>
          <w:rFonts w:ascii="Arial" w:hAnsi="Arial" w:cs="Arial"/>
        </w:rPr>
        <w:t>o</w:t>
      </w:r>
      <w:r w:rsidRPr="002634BA">
        <w:rPr>
          <w:rFonts w:ascii="Arial" w:hAnsi="Arial" w:cs="Arial"/>
        </w:rPr>
        <w:t xml:space="preserve">T will consume many </w:t>
      </w:r>
      <w:r w:rsidR="00F16FD1">
        <w:rPr>
          <w:rFonts w:ascii="Arial" w:hAnsi="Arial" w:cs="Arial"/>
        </w:rPr>
        <w:t>numbering resources</w:t>
      </w:r>
      <w:r w:rsidRPr="002634BA">
        <w:rPr>
          <w:rFonts w:ascii="Arial" w:hAnsi="Arial" w:cs="Arial"/>
        </w:rPr>
        <w:t xml:space="preserve"> and </w:t>
      </w:r>
      <w:r w:rsidR="00FF2746">
        <w:rPr>
          <w:rFonts w:ascii="Arial" w:hAnsi="Arial" w:cs="Arial"/>
        </w:rPr>
        <w:t>some of the</w:t>
      </w:r>
      <w:r w:rsidRPr="002634BA">
        <w:rPr>
          <w:rFonts w:ascii="Arial" w:hAnsi="Arial" w:cs="Arial"/>
        </w:rPr>
        <w:t xml:space="preserve"> 6YY I</w:t>
      </w:r>
      <w:r w:rsidR="00DC0B3D" w:rsidRPr="002634BA">
        <w:rPr>
          <w:rFonts w:ascii="Arial" w:hAnsi="Arial" w:cs="Arial"/>
        </w:rPr>
        <w:t>o</w:t>
      </w:r>
      <w:r w:rsidRPr="002634BA">
        <w:rPr>
          <w:rFonts w:ascii="Arial" w:hAnsi="Arial" w:cs="Arial"/>
        </w:rPr>
        <w:t>T numbering resource</w:t>
      </w:r>
      <w:r w:rsidR="00F16FD1">
        <w:rPr>
          <w:rFonts w:ascii="Arial" w:hAnsi="Arial" w:cs="Arial"/>
        </w:rPr>
        <w:t>s</w:t>
      </w:r>
      <w:r w:rsidRPr="002634BA">
        <w:rPr>
          <w:rFonts w:ascii="Arial" w:hAnsi="Arial" w:cs="Arial"/>
        </w:rPr>
        <w:t xml:space="preserve"> may be expanded to meet this demand by extending the 6YY digit format from 1+10 digits to 1+14 digits. To accommodate this transition, it must be done on unassigned NPAs such as 677 and 688 to allow for new software development on network and IT platforms maintained by TSPs, infrastructure vendors, and numbering administrators.  </w:t>
      </w:r>
    </w:p>
    <w:p w14:paraId="16A3D9EB" w14:textId="1CF8BF50" w:rsidR="005367C8" w:rsidRDefault="00A97BB7">
      <w:pPr>
        <w:rPr>
          <w:rFonts w:ascii="Arial" w:hAnsi="Arial" w:cs="Arial"/>
        </w:rPr>
      </w:pPr>
      <w:r>
        <w:rPr>
          <w:rFonts w:ascii="Arial" w:hAnsi="Arial" w:cs="Arial"/>
        </w:rPr>
        <w:t xml:space="preserve">The CSCN considered the use of a D-digit indicator and concluded that </w:t>
      </w:r>
      <w:r w:rsidR="00D81C9D" w:rsidRPr="00D81C9D">
        <w:rPr>
          <w:rFonts w:ascii="Arial" w:hAnsi="Arial" w:cs="Arial"/>
        </w:rPr>
        <w:t>omitting the D-digit indicator will provide at least 4 times as many numbers in an NPA compared to using the D-digit indicator</w:t>
      </w:r>
      <w:r w:rsidR="008A18E0">
        <w:rPr>
          <w:rFonts w:ascii="Arial" w:hAnsi="Arial" w:cs="Arial"/>
        </w:rPr>
        <w:t>.</w:t>
      </w:r>
    </w:p>
    <w:p w14:paraId="6BD91FE2" w14:textId="04B0EC78" w:rsidR="005367C8" w:rsidRPr="002634BA" w:rsidRDefault="00635F8F" w:rsidP="002634BA">
      <w:pPr>
        <w:rPr>
          <w:rFonts w:ascii="Arial" w:hAnsi="Arial" w:cs="Arial"/>
        </w:rPr>
      </w:pPr>
      <w:r w:rsidRPr="002634BA">
        <w:rPr>
          <w:rFonts w:ascii="Arial" w:hAnsi="Arial" w:cs="Arial"/>
        </w:rPr>
        <w:t xml:space="preserve">The CSCN considered block sizes within the </w:t>
      </w:r>
      <w:proofErr w:type="gramStart"/>
      <w:r w:rsidRPr="002634BA">
        <w:rPr>
          <w:rFonts w:ascii="Arial" w:hAnsi="Arial" w:cs="Arial"/>
        </w:rPr>
        <w:t>1+14 digit</w:t>
      </w:r>
      <w:proofErr w:type="gramEnd"/>
      <w:r w:rsidRPr="002634BA">
        <w:rPr>
          <w:rFonts w:ascii="Arial" w:hAnsi="Arial" w:cs="Arial"/>
        </w:rPr>
        <w:t xml:space="preserve"> NPAs. The CSCN believes that utilizing a traditional block size of 10,000 TNs strikes the best balance </w:t>
      </w:r>
      <w:r w:rsidR="00B71207">
        <w:rPr>
          <w:rFonts w:ascii="Arial" w:hAnsi="Arial" w:cs="Arial"/>
        </w:rPr>
        <w:t>between</w:t>
      </w:r>
      <w:r w:rsidRPr="002634BA">
        <w:rPr>
          <w:rFonts w:ascii="Arial" w:hAnsi="Arial" w:cs="Arial"/>
        </w:rPr>
        <w:t xml:space="preserve"> the </w:t>
      </w:r>
      <w:r w:rsidR="00194B4C">
        <w:rPr>
          <w:rFonts w:ascii="Arial" w:hAnsi="Arial" w:cs="Arial"/>
        </w:rPr>
        <w:t>efficient use</w:t>
      </w:r>
      <w:r w:rsidR="00194B4C" w:rsidRPr="002634BA">
        <w:rPr>
          <w:rFonts w:ascii="Arial" w:hAnsi="Arial" w:cs="Arial"/>
        </w:rPr>
        <w:t xml:space="preserve"> </w:t>
      </w:r>
      <w:r w:rsidRPr="002634BA">
        <w:rPr>
          <w:rFonts w:ascii="Arial" w:hAnsi="Arial" w:cs="Arial"/>
        </w:rPr>
        <w:t>of numbering resources and minimizing the impact on all infrastructure.</w:t>
      </w:r>
    </w:p>
    <w:p w14:paraId="1A0B817A" w14:textId="49008F5A" w:rsidR="001E227F" w:rsidRPr="001E227F" w:rsidRDefault="007D4E9A" w:rsidP="002119AE">
      <w:pPr>
        <w:rPr>
          <w:rFonts w:ascii="Arial" w:hAnsi="Arial" w:cs="Arial"/>
        </w:rPr>
      </w:pPr>
      <w:r>
        <w:rPr>
          <w:rFonts w:ascii="Arial" w:hAnsi="Arial" w:cs="Arial"/>
        </w:rPr>
        <w:t xml:space="preserve">As the </w:t>
      </w:r>
      <w:r w:rsidR="00160A94" w:rsidRPr="00160A94">
        <w:rPr>
          <w:rFonts w:ascii="Arial" w:hAnsi="Arial" w:cs="Arial"/>
        </w:rPr>
        <w:t xml:space="preserve">NANC report </w:t>
      </w:r>
      <w:r w:rsidR="00151A02">
        <w:rPr>
          <w:rFonts w:ascii="Arial" w:hAnsi="Arial" w:cs="Arial"/>
        </w:rPr>
        <w:t>only exp</w:t>
      </w:r>
      <w:r w:rsidR="002119AE">
        <w:rPr>
          <w:rFonts w:ascii="Arial" w:hAnsi="Arial" w:cs="Arial"/>
        </w:rPr>
        <w:t>lored a</w:t>
      </w:r>
      <w:r w:rsidR="002119AE" w:rsidRPr="002119AE">
        <w:rPr>
          <w:rFonts w:ascii="Arial" w:hAnsi="Arial" w:cs="Arial"/>
        </w:rPr>
        <w:t xml:space="preserve">lternative </w:t>
      </w:r>
      <w:r w:rsidR="002119AE">
        <w:rPr>
          <w:rFonts w:ascii="Arial" w:hAnsi="Arial" w:cs="Arial"/>
        </w:rPr>
        <w:t>a</w:t>
      </w:r>
      <w:r w:rsidR="002119AE" w:rsidRPr="002119AE">
        <w:rPr>
          <w:rFonts w:ascii="Arial" w:hAnsi="Arial" w:cs="Arial"/>
        </w:rPr>
        <w:t>ddressing</w:t>
      </w:r>
      <w:r w:rsidR="002119AE">
        <w:rPr>
          <w:rFonts w:ascii="Arial" w:hAnsi="Arial" w:cs="Arial"/>
        </w:rPr>
        <w:t xml:space="preserve"> </w:t>
      </w:r>
      <w:r w:rsidR="002119AE" w:rsidRPr="002119AE">
        <w:rPr>
          <w:rFonts w:ascii="Arial" w:hAnsi="Arial" w:cs="Arial"/>
        </w:rPr>
        <w:t xml:space="preserve">and </w:t>
      </w:r>
      <w:r w:rsidR="002119AE">
        <w:rPr>
          <w:rFonts w:ascii="Arial" w:hAnsi="Arial" w:cs="Arial"/>
        </w:rPr>
        <w:t>v</w:t>
      </w:r>
      <w:r w:rsidR="002119AE" w:rsidRPr="002119AE">
        <w:rPr>
          <w:rFonts w:ascii="Arial" w:hAnsi="Arial" w:cs="Arial"/>
        </w:rPr>
        <w:t xml:space="preserve">iability of </w:t>
      </w:r>
      <w:r w:rsidR="002119AE">
        <w:rPr>
          <w:rFonts w:ascii="Arial" w:hAnsi="Arial" w:cs="Arial"/>
        </w:rPr>
        <w:t>p</w:t>
      </w:r>
      <w:r w:rsidR="002119AE" w:rsidRPr="002119AE">
        <w:rPr>
          <w:rFonts w:ascii="Arial" w:hAnsi="Arial" w:cs="Arial"/>
        </w:rPr>
        <w:t xml:space="preserve">otential </w:t>
      </w:r>
      <w:r w:rsidR="002119AE">
        <w:rPr>
          <w:rFonts w:ascii="Arial" w:hAnsi="Arial" w:cs="Arial"/>
        </w:rPr>
        <w:t>o</w:t>
      </w:r>
      <w:r w:rsidR="002119AE" w:rsidRPr="002119AE">
        <w:rPr>
          <w:rFonts w:ascii="Arial" w:hAnsi="Arial" w:cs="Arial"/>
        </w:rPr>
        <w:t>ptions</w:t>
      </w:r>
      <w:r w:rsidR="002119AE">
        <w:rPr>
          <w:rFonts w:ascii="Arial" w:hAnsi="Arial" w:cs="Arial"/>
        </w:rPr>
        <w:t xml:space="preserve"> for IoT and </w:t>
      </w:r>
      <w:r w:rsidR="00160A94">
        <w:rPr>
          <w:rFonts w:ascii="Arial" w:hAnsi="Arial" w:cs="Arial"/>
        </w:rPr>
        <w:t>does not provide</w:t>
      </w:r>
      <w:r w:rsidR="00160A94" w:rsidRPr="00160A94">
        <w:rPr>
          <w:rFonts w:ascii="Arial" w:hAnsi="Arial" w:cs="Arial"/>
        </w:rPr>
        <w:t xml:space="preserve"> a recommendation, ongoing monitoring of US developments is necessary. </w:t>
      </w:r>
    </w:p>
    <w:p w14:paraId="70F1693B" w14:textId="6E9ADFDF" w:rsidR="00A22845" w:rsidRPr="002634BA" w:rsidRDefault="00767E35" w:rsidP="004735D2">
      <w:pPr>
        <w:rPr>
          <w:rFonts w:ascii="Arial" w:hAnsi="Arial" w:cs="Arial"/>
          <w:lang w:val="en-US"/>
        </w:rPr>
      </w:pPr>
      <w:r>
        <w:rPr>
          <w:rFonts w:ascii="Arial" w:hAnsi="Arial" w:cs="Arial"/>
          <w:lang w:val="en-US"/>
        </w:rPr>
        <w:t>B</w:t>
      </w:r>
      <w:r w:rsidRPr="005041D6">
        <w:rPr>
          <w:rFonts w:ascii="Arial" w:hAnsi="Arial" w:cs="Arial"/>
          <w:lang w:val="en-US"/>
        </w:rPr>
        <w:t>oth Canada and the US can format non-geo</w:t>
      </w:r>
      <w:r>
        <w:rPr>
          <w:rFonts w:ascii="Arial" w:hAnsi="Arial" w:cs="Arial"/>
          <w:lang w:val="en-US"/>
        </w:rPr>
        <w:t xml:space="preserve">graphic </w:t>
      </w:r>
      <w:r w:rsidR="00B46207">
        <w:rPr>
          <w:rFonts w:ascii="Arial" w:hAnsi="Arial" w:cs="Arial"/>
          <w:lang w:val="en-US"/>
        </w:rPr>
        <w:t>code resources</w:t>
      </w:r>
      <w:r w:rsidRPr="005041D6">
        <w:rPr>
          <w:rFonts w:ascii="Arial" w:hAnsi="Arial" w:cs="Arial"/>
          <w:lang w:val="en-US"/>
        </w:rPr>
        <w:t xml:space="preserve"> with autonomy, as any roaming agreement would be based on </w:t>
      </w:r>
      <w:r w:rsidR="00554168" w:rsidRPr="00D47E2A">
        <w:rPr>
          <w:rFonts w:ascii="Arial" w:hAnsi="Arial" w:cs="Arial"/>
          <w:lang w:val="en-US"/>
        </w:rPr>
        <w:t>International Mobile Subscription Identity (IMSI)</w:t>
      </w:r>
      <w:r w:rsidR="00C95522">
        <w:rPr>
          <w:rFonts w:ascii="Arial" w:hAnsi="Arial" w:cs="Arial"/>
          <w:lang w:val="en-US"/>
        </w:rPr>
        <w:t>,</w:t>
      </w:r>
      <w:r w:rsidRPr="005041D6">
        <w:rPr>
          <w:rFonts w:ascii="Arial" w:hAnsi="Arial" w:cs="Arial"/>
          <w:lang w:val="en-US"/>
        </w:rPr>
        <w:t xml:space="preserve"> not TN</w:t>
      </w:r>
      <w:r>
        <w:rPr>
          <w:rFonts w:ascii="Arial" w:hAnsi="Arial" w:cs="Arial"/>
          <w:lang w:val="en-US"/>
        </w:rPr>
        <w:t xml:space="preserve">. </w:t>
      </w:r>
      <w:r w:rsidR="00627B3C">
        <w:rPr>
          <w:rFonts w:ascii="Arial" w:hAnsi="Arial" w:cs="Arial"/>
          <w:lang w:val="en-US"/>
        </w:rPr>
        <w:t>Service providers would typically</w:t>
      </w:r>
      <w:r w:rsidR="007B1682">
        <w:rPr>
          <w:rFonts w:ascii="Arial" w:hAnsi="Arial" w:cs="Arial"/>
          <w:lang w:val="en-US"/>
        </w:rPr>
        <w:t xml:space="preserve"> use non-geographic </w:t>
      </w:r>
      <w:r w:rsidR="00B46207">
        <w:rPr>
          <w:rFonts w:ascii="Arial" w:hAnsi="Arial" w:cs="Arial"/>
          <w:lang w:val="en-US"/>
        </w:rPr>
        <w:t>code resources</w:t>
      </w:r>
      <w:r w:rsidR="007B1682">
        <w:rPr>
          <w:rFonts w:ascii="Arial" w:hAnsi="Arial" w:cs="Arial"/>
          <w:lang w:val="en-US"/>
        </w:rPr>
        <w:t xml:space="preserve"> </w:t>
      </w:r>
      <w:r w:rsidR="00640C83">
        <w:rPr>
          <w:rFonts w:ascii="Arial" w:hAnsi="Arial" w:cs="Arial"/>
          <w:lang w:val="en-US"/>
        </w:rPr>
        <w:t>f</w:t>
      </w:r>
      <w:r w:rsidR="007B1682">
        <w:rPr>
          <w:rFonts w:ascii="Arial" w:hAnsi="Arial" w:cs="Arial"/>
          <w:lang w:val="en-US"/>
        </w:rPr>
        <w:t>or</w:t>
      </w:r>
      <w:r w:rsidR="009E60E0">
        <w:rPr>
          <w:rFonts w:ascii="Arial" w:hAnsi="Arial" w:cs="Arial"/>
          <w:lang w:val="en-US"/>
        </w:rPr>
        <w:t xml:space="preserve"> intercompany routing</w:t>
      </w:r>
      <w:r w:rsidR="00640C83">
        <w:rPr>
          <w:rFonts w:ascii="Arial" w:hAnsi="Arial" w:cs="Arial"/>
          <w:lang w:val="en-US"/>
        </w:rPr>
        <w:t>.</w:t>
      </w:r>
      <w:r w:rsidR="009E60E0">
        <w:rPr>
          <w:rFonts w:ascii="Arial" w:hAnsi="Arial" w:cs="Arial"/>
          <w:lang w:val="en-US"/>
        </w:rPr>
        <w:t xml:space="preserve"> </w:t>
      </w:r>
      <w:r w:rsidR="00712868">
        <w:rPr>
          <w:rFonts w:ascii="Arial" w:hAnsi="Arial" w:cs="Arial"/>
          <w:lang w:val="en-US"/>
        </w:rPr>
        <w:t xml:space="preserve">The CSCN believes that </w:t>
      </w:r>
      <w:r w:rsidR="00635AF2">
        <w:rPr>
          <w:rFonts w:ascii="Arial" w:hAnsi="Arial" w:cs="Arial"/>
          <w:lang w:val="en-US"/>
        </w:rPr>
        <w:t xml:space="preserve">any </w:t>
      </w:r>
      <w:r w:rsidR="00607023">
        <w:rPr>
          <w:rFonts w:ascii="Arial" w:hAnsi="Arial" w:cs="Arial"/>
          <w:lang w:val="en-US"/>
        </w:rPr>
        <w:t xml:space="preserve">differences </w:t>
      </w:r>
      <w:r w:rsidR="003F4D0B">
        <w:rPr>
          <w:rFonts w:ascii="Arial" w:hAnsi="Arial" w:cs="Arial"/>
          <w:lang w:val="en-US"/>
        </w:rPr>
        <w:t xml:space="preserve">between Canada and the US </w:t>
      </w:r>
      <w:r w:rsidR="004D4399">
        <w:rPr>
          <w:rFonts w:ascii="Arial" w:hAnsi="Arial" w:cs="Arial"/>
          <w:lang w:val="en-US"/>
        </w:rPr>
        <w:t xml:space="preserve">in approach </w:t>
      </w:r>
      <w:r w:rsidR="00C95522">
        <w:rPr>
          <w:rFonts w:ascii="Arial" w:hAnsi="Arial" w:cs="Arial"/>
          <w:lang w:val="en-US"/>
        </w:rPr>
        <w:t xml:space="preserve">to </w:t>
      </w:r>
      <w:r w:rsidR="00873B82">
        <w:rPr>
          <w:rFonts w:ascii="Arial" w:hAnsi="Arial" w:cs="Arial"/>
          <w:lang w:val="en-US"/>
        </w:rPr>
        <w:t>TN</w:t>
      </w:r>
      <w:r w:rsidR="00C50E6C">
        <w:rPr>
          <w:rFonts w:ascii="Arial" w:hAnsi="Arial" w:cs="Arial"/>
          <w:lang w:val="en-US"/>
        </w:rPr>
        <w:t xml:space="preserve"> length, block size or number format</w:t>
      </w:r>
      <w:r w:rsidR="00C95522">
        <w:rPr>
          <w:rFonts w:ascii="Arial" w:hAnsi="Arial" w:cs="Arial"/>
          <w:lang w:val="en-US"/>
        </w:rPr>
        <w:t xml:space="preserve"> will</w:t>
      </w:r>
      <w:r w:rsidR="00C50E6C">
        <w:rPr>
          <w:rFonts w:ascii="Arial" w:hAnsi="Arial" w:cs="Arial"/>
          <w:lang w:val="en-US"/>
        </w:rPr>
        <w:t xml:space="preserve"> no</w:t>
      </w:r>
      <w:r w:rsidR="00C95522">
        <w:rPr>
          <w:rFonts w:ascii="Arial" w:hAnsi="Arial" w:cs="Arial"/>
          <w:lang w:val="en-US"/>
        </w:rPr>
        <w:t>t</w:t>
      </w:r>
      <w:r w:rsidR="007E1383">
        <w:rPr>
          <w:rFonts w:ascii="Arial" w:hAnsi="Arial" w:cs="Arial"/>
          <w:lang w:val="en-US"/>
        </w:rPr>
        <w:t xml:space="preserve"> impact </w:t>
      </w:r>
      <w:r w:rsidR="00B2407B">
        <w:rPr>
          <w:rFonts w:ascii="Arial" w:hAnsi="Arial" w:cs="Arial"/>
          <w:lang w:val="en-US"/>
        </w:rPr>
        <w:t xml:space="preserve">roaming between </w:t>
      </w:r>
      <w:r w:rsidR="009C3E7C">
        <w:rPr>
          <w:rFonts w:ascii="Arial" w:hAnsi="Arial" w:cs="Arial"/>
          <w:lang w:val="en-US"/>
        </w:rPr>
        <w:t>Canada and the US</w:t>
      </w:r>
      <w:r w:rsidR="00B2407B">
        <w:rPr>
          <w:rFonts w:ascii="Arial" w:hAnsi="Arial" w:cs="Arial"/>
          <w:lang w:val="en-US"/>
        </w:rPr>
        <w:t xml:space="preserve"> with devices using non-geographic code resources</w:t>
      </w:r>
      <w:r w:rsidR="007E1383">
        <w:rPr>
          <w:rFonts w:ascii="Arial" w:hAnsi="Arial" w:cs="Arial"/>
          <w:lang w:val="en-US"/>
        </w:rPr>
        <w:t>.</w:t>
      </w:r>
    </w:p>
    <w:p w14:paraId="4749A21C" w14:textId="03178AE2" w:rsidR="00372A22" w:rsidRDefault="00A22845" w:rsidP="00372A22">
      <w:pPr>
        <w:pStyle w:val="Heading1"/>
        <w:numPr>
          <w:ilvl w:val="0"/>
          <w:numId w:val="9"/>
        </w:numPr>
        <w:ind w:left="720" w:hanging="720"/>
        <w:rPr>
          <w:rFonts w:ascii="Arial" w:hAnsi="Arial"/>
          <w:sz w:val="24"/>
          <w:szCs w:val="24"/>
        </w:rPr>
      </w:pPr>
      <w:r>
        <w:rPr>
          <w:rFonts w:ascii="Arial" w:hAnsi="Arial"/>
          <w:sz w:val="24"/>
          <w:szCs w:val="24"/>
        </w:rPr>
        <w:t>Recommendations</w:t>
      </w:r>
    </w:p>
    <w:p w14:paraId="2B5841C3" w14:textId="77777777" w:rsidR="00A22845" w:rsidRDefault="00A22845" w:rsidP="00A22845"/>
    <w:p w14:paraId="178986E4" w14:textId="77777777" w:rsidR="0021020F" w:rsidRDefault="0021020F" w:rsidP="0021020F">
      <w:pPr>
        <w:rPr>
          <w:rFonts w:ascii="Arial" w:hAnsi="Arial" w:cs="Arial"/>
        </w:rPr>
      </w:pPr>
      <w:r>
        <w:rPr>
          <w:rFonts w:ascii="Arial" w:hAnsi="Arial" w:cs="Arial"/>
        </w:rPr>
        <w:t>The CSCN recommends that:</w:t>
      </w:r>
    </w:p>
    <w:p w14:paraId="104758D3" w14:textId="23508C7C" w:rsidR="008B3449" w:rsidRDefault="00A706EB" w:rsidP="00B95BC5">
      <w:pPr>
        <w:pStyle w:val="ListParagraph"/>
        <w:numPr>
          <w:ilvl w:val="0"/>
          <w:numId w:val="21"/>
        </w:numPr>
        <w:rPr>
          <w:rFonts w:ascii="Arial" w:hAnsi="Arial" w:cs="Arial"/>
        </w:rPr>
      </w:pPr>
      <w:r w:rsidRPr="00A706EB">
        <w:rPr>
          <w:rFonts w:ascii="Arial" w:hAnsi="Arial" w:cs="Arial"/>
        </w:rPr>
        <w:t xml:space="preserve">The CNA and service providers that seek new </w:t>
      </w:r>
      <w:proofErr w:type="gramStart"/>
      <w:r w:rsidRPr="00A706EB">
        <w:rPr>
          <w:rFonts w:ascii="Arial" w:hAnsi="Arial" w:cs="Arial"/>
        </w:rPr>
        <w:t>Non-Geographic</w:t>
      </w:r>
      <w:proofErr w:type="gramEnd"/>
      <w:r w:rsidRPr="00A706EB">
        <w:rPr>
          <w:rFonts w:ascii="Arial" w:hAnsi="Arial" w:cs="Arial"/>
        </w:rPr>
        <w:t xml:space="preserve"> numbering resources must be capable of using the expanded 1+</w:t>
      </w:r>
      <w:r w:rsidR="008A122E" w:rsidRPr="00A706EB">
        <w:rPr>
          <w:rFonts w:ascii="Arial" w:hAnsi="Arial" w:cs="Arial"/>
        </w:rPr>
        <w:t>14</w:t>
      </w:r>
      <w:r w:rsidR="008A122E">
        <w:rPr>
          <w:rFonts w:ascii="Arial" w:hAnsi="Arial" w:cs="Arial"/>
        </w:rPr>
        <w:t>-</w:t>
      </w:r>
      <w:r w:rsidRPr="00A706EB">
        <w:rPr>
          <w:rFonts w:ascii="Arial" w:hAnsi="Arial" w:cs="Arial"/>
        </w:rPr>
        <w:t xml:space="preserve">digit format, no later than 3 years after the date of the </w:t>
      </w:r>
      <w:proofErr w:type="gramStart"/>
      <w:r w:rsidRPr="00A706EB">
        <w:rPr>
          <w:rFonts w:ascii="Arial" w:hAnsi="Arial" w:cs="Arial"/>
        </w:rPr>
        <w:t>Decision</w:t>
      </w:r>
      <w:r w:rsidR="00614331">
        <w:rPr>
          <w:rFonts w:ascii="Arial" w:hAnsi="Arial" w:cs="Arial"/>
        </w:rPr>
        <w:t>;</w:t>
      </w:r>
      <w:proofErr w:type="gramEnd"/>
    </w:p>
    <w:p w14:paraId="406C1A55" w14:textId="31127A8F" w:rsidR="002551AF" w:rsidRPr="002634BA" w:rsidRDefault="002551AF" w:rsidP="002634BA">
      <w:pPr>
        <w:pStyle w:val="ListParagraph"/>
        <w:rPr>
          <w:rFonts w:ascii="Arial" w:hAnsi="Arial" w:cs="Arial"/>
        </w:rPr>
      </w:pPr>
    </w:p>
    <w:p w14:paraId="6F2BFBCA" w14:textId="42519D20" w:rsidR="0021020F" w:rsidRDefault="000D6860" w:rsidP="00B95BC5">
      <w:pPr>
        <w:pStyle w:val="ListParagraph"/>
        <w:numPr>
          <w:ilvl w:val="0"/>
          <w:numId w:val="21"/>
        </w:numPr>
        <w:rPr>
          <w:rFonts w:ascii="Arial" w:hAnsi="Arial" w:cs="Arial"/>
        </w:rPr>
      </w:pPr>
      <w:r>
        <w:rPr>
          <w:rFonts w:ascii="Arial" w:hAnsi="Arial" w:cs="Arial"/>
        </w:rPr>
        <w:t xml:space="preserve">The </w:t>
      </w:r>
      <w:r w:rsidR="00E00DE8">
        <w:rPr>
          <w:rFonts w:ascii="Arial" w:hAnsi="Arial" w:cs="Arial"/>
        </w:rPr>
        <w:t>CNA</w:t>
      </w:r>
      <w:r>
        <w:rPr>
          <w:rFonts w:ascii="Arial" w:hAnsi="Arial" w:cs="Arial"/>
        </w:rPr>
        <w:t xml:space="preserve"> and </w:t>
      </w:r>
      <w:r w:rsidR="00E00DE8">
        <w:rPr>
          <w:rFonts w:ascii="Arial" w:hAnsi="Arial" w:cs="Arial"/>
        </w:rPr>
        <w:t>service providers implement t</w:t>
      </w:r>
      <w:r w:rsidR="0021020F" w:rsidRPr="002634BA">
        <w:rPr>
          <w:rFonts w:ascii="Arial" w:hAnsi="Arial" w:cs="Arial"/>
        </w:rPr>
        <w:t xml:space="preserve">he extended digit NPAs </w:t>
      </w:r>
      <w:r w:rsidR="00EC15A4">
        <w:rPr>
          <w:rFonts w:ascii="Arial" w:hAnsi="Arial" w:cs="Arial"/>
        </w:rPr>
        <w:t xml:space="preserve">677 and 688 </w:t>
      </w:r>
      <w:r w:rsidR="00D555BE">
        <w:rPr>
          <w:rFonts w:ascii="Arial" w:hAnsi="Arial" w:cs="Arial"/>
        </w:rPr>
        <w:t>in the format of</w:t>
      </w:r>
      <w:r w:rsidR="0021020F" w:rsidRPr="002634BA">
        <w:rPr>
          <w:rFonts w:ascii="Arial" w:hAnsi="Arial" w:cs="Arial"/>
        </w:rPr>
        <w:t xml:space="preserve"> 1-6</w:t>
      </w:r>
      <w:r w:rsidR="00D555BE">
        <w:rPr>
          <w:rFonts w:ascii="Arial" w:hAnsi="Arial" w:cs="Arial"/>
        </w:rPr>
        <w:t>YY</w:t>
      </w:r>
      <w:r w:rsidR="0021020F" w:rsidRPr="002634BA">
        <w:rPr>
          <w:rFonts w:ascii="Arial" w:hAnsi="Arial" w:cs="Arial"/>
        </w:rPr>
        <w:t>-XXX-XXXX-XXXX where X is a number range from 0 to 9</w:t>
      </w:r>
      <w:r w:rsidR="009C366C">
        <w:rPr>
          <w:rFonts w:ascii="Arial" w:hAnsi="Arial" w:cs="Arial"/>
        </w:rPr>
        <w:t xml:space="preserve">, </w:t>
      </w:r>
      <w:r w:rsidR="008C65B9">
        <w:rPr>
          <w:rFonts w:ascii="Arial" w:hAnsi="Arial" w:cs="Arial"/>
        </w:rPr>
        <w:t xml:space="preserve">and the D-digit </w:t>
      </w:r>
      <w:r w:rsidR="009C366C">
        <w:rPr>
          <w:rFonts w:ascii="Arial" w:hAnsi="Arial" w:cs="Arial"/>
        </w:rPr>
        <w:t xml:space="preserve">would change from an N (2 </w:t>
      </w:r>
      <w:r w:rsidR="00213507">
        <w:rPr>
          <w:rFonts w:ascii="Arial" w:hAnsi="Arial" w:cs="Arial"/>
        </w:rPr>
        <w:t>through</w:t>
      </w:r>
      <w:r w:rsidR="009C366C">
        <w:rPr>
          <w:rFonts w:ascii="Arial" w:hAnsi="Arial" w:cs="Arial"/>
        </w:rPr>
        <w:t xml:space="preserve"> 9) </w:t>
      </w:r>
      <w:r w:rsidR="00213507">
        <w:rPr>
          <w:rFonts w:ascii="Arial" w:hAnsi="Arial" w:cs="Arial"/>
        </w:rPr>
        <w:t>to an X (</w:t>
      </w:r>
      <w:r w:rsidR="008C65B9">
        <w:rPr>
          <w:rFonts w:ascii="Arial" w:hAnsi="Arial" w:cs="Arial"/>
        </w:rPr>
        <w:t xml:space="preserve">0 </w:t>
      </w:r>
      <w:r w:rsidR="00213507">
        <w:rPr>
          <w:rFonts w:ascii="Arial" w:hAnsi="Arial" w:cs="Arial"/>
        </w:rPr>
        <w:t>through</w:t>
      </w:r>
      <w:r w:rsidR="008C65B9">
        <w:rPr>
          <w:rFonts w:ascii="Arial" w:hAnsi="Arial" w:cs="Arial"/>
        </w:rPr>
        <w:t xml:space="preserve"> 9</w:t>
      </w:r>
      <w:r w:rsidR="00213507">
        <w:rPr>
          <w:rFonts w:ascii="Arial" w:hAnsi="Arial" w:cs="Arial"/>
        </w:rPr>
        <w:t>)</w:t>
      </w:r>
      <w:r w:rsidR="009C7C0D">
        <w:rPr>
          <w:rFonts w:ascii="Arial" w:hAnsi="Arial" w:cs="Arial"/>
        </w:rPr>
        <w:t>; and</w:t>
      </w:r>
      <w:r w:rsidR="0021020F" w:rsidRPr="002634BA">
        <w:rPr>
          <w:rFonts w:ascii="Arial" w:hAnsi="Arial" w:cs="Arial"/>
        </w:rPr>
        <w:t xml:space="preserve">  </w:t>
      </w:r>
    </w:p>
    <w:p w14:paraId="0E759A27" w14:textId="77777777" w:rsidR="00A86885" w:rsidRPr="002634BA" w:rsidRDefault="00A86885" w:rsidP="002634BA">
      <w:pPr>
        <w:pStyle w:val="ListParagraph"/>
        <w:rPr>
          <w:rFonts w:ascii="Arial" w:hAnsi="Arial" w:cs="Arial"/>
        </w:rPr>
      </w:pPr>
    </w:p>
    <w:p w14:paraId="05676D19" w14:textId="4E8D3DEA" w:rsidR="0021020F" w:rsidRPr="002634BA" w:rsidRDefault="00E00DE8" w:rsidP="00B95BC5">
      <w:pPr>
        <w:pStyle w:val="ListParagraph"/>
        <w:numPr>
          <w:ilvl w:val="0"/>
          <w:numId w:val="21"/>
        </w:numPr>
        <w:rPr>
          <w:rFonts w:ascii="Arial" w:hAnsi="Arial" w:cs="Arial"/>
        </w:rPr>
      </w:pPr>
      <w:r>
        <w:rPr>
          <w:rFonts w:ascii="Arial" w:hAnsi="Arial" w:cs="Arial"/>
        </w:rPr>
        <w:t>The CNA and service providers implement a</w:t>
      </w:r>
      <w:r w:rsidR="0021020F" w:rsidRPr="002634BA">
        <w:rPr>
          <w:rFonts w:ascii="Arial" w:hAnsi="Arial" w:cs="Arial"/>
        </w:rPr>
        <w:t xml:space="preserve"> block size of</w:t>
      </w:r>
      <w:r>
        <w:rPr>
          <w:rFonts w:ascii="Arial" w:hAnsi="Arial" w:cs="Arial"/>
        </w:rPr>
        <w:t xml:space="preserve"> 10,000 TNs in </w:t>
      </w:r>
      <w:r w:rsidR="0021020F" w:rsidRPr="002634BA">
        <w:rPr>
          <w:rFonts w:ascii="Arial" w:hAnsi="Arial" w:cs="Arial"/>
        </w:rPr>
        <w:t>1+</w:t>
      </w:r>
      <w:r w:rsidR="008A122E" w:rsidRPr="002634BA">
        <w:rPr>
          <w:rFonts w:ascii="Arial" w:hAnsi="Arial" w:cs="Arial"/>
        </w:rPr>
        <w:t>14</w:t>
      </w:r>
      <w:r w:rsidR="008A122E">
        <w:rPr>
          <w:rFonts w:ascii="Arial" w:hAnsi="Arial" w:cs="Arial"/>
        </w:rPr>
        <w:t>-</w:t>
      </w:r>
      <w:r w:rsidR="0021020F" w:rsidRPr="002634BA">
        <w:rPr>
          <w:rFonts w:ascii="Arial" w:hAnsi="Arial" w:cs="Arial"/>
        </w:rPr>
        <w:t xml:space="preserve">digit NPAs, </w:t>
      </w:r>
      <w:r w:rsidR="00DA5999">
        <w:rPr>
          <w:rFonts w:ascii="Arial" w:hAnsi="Arial" w:cs="Arial"/>
        </w:rPr>
        <w:t>resulting in</w:t>
      </w:r>
      <w:r w:rsidR="0021020F" w:rsidRPr="002634BA">
        <w:rPr>
          <w:rFonts w:ascii="Arial" w:hAnsi="Arial" w:cs="Arial"/>
        </w:rPr>
        <w:t xml:space="preserve"> the </w:t>
      </w:r>
      <w:r w:rsidR="00980F28">
        <w:rPr>
          <w:rFonts w:ascii="Arial" w:hAnsi="Arial" w:cs="Arial"/>
        </w:rPr>
        <w:t>administered digits</w:t>
      </w:r>
      <w:r w:rsidR="00980F28" w:rsidRPr="002634BA">
        <w:rPr>
          <w:rFonts w:ascii="Arial" w:hAnsi="Arial" w:cs="Arial"/>
        </w:rPr>
        <w:t xml:space="preserve"> </w:t>
      </w:r>
      <w:r w:rsidR="00DA5999">
        <w:rPr>
          <w:rFonts w:ascii="Arial" w:hAnsi="Arial" w:cs="Arial"/>
        </w:rPr>
        <w:t>being</w:t>
      </w:r>
      <w:r w:rsidR="0021020F" w:rsidRPr="002634BA">
        <w:rPr>
          <w:rFonts w:ascii="Arial" w:hAnsi="Arial" w:cs="Arial"/>
        </w:rPr>
        <w:t xml:space="preserve"> the bolded characters in the following format: </w:t>
      </w:r>
      <w:r w:rsidR="0021020F" w:rsidRPr="002634BA">
        <w:rPr>
          <w:rFonts w:ascii="Arial" w:hAnsi="Arial" w:cs="Arial"/>
          <w:lang w:val="en-US"/>
        </w:rPr>
        <w:t>1+6YY-</w:t>
      </w:r>
      <w:r w:rsidR="0021020F" w:rsidRPr="002634BA">
        <w:rPr>
          <w:rFonts w:ascii="Arial" w:hAnsi="Arial" w:cs="Arial"/>
          <w:b/>
          <w:bCs/>
          <w:lang w:val="en-US"/>
        </w:rPr>
        <w:t>DEF-GHIJ</w:t>
      </w:r>
      <w:r w:rsidR="0021020F" w:rsidRPr="002634BA">
        <w:rPr>
          <w:rFonts w:ascii="Arial" w:hAnsi="Arial" w:cs="Arial"/>
          <w:lang w:val="en-US"/>
        </w:rPr>
        <w:t>-XXXX.</w:t>
      </w:r>
    </w:p>
    <w:p w14:paraId="64E274B8" w14:textId="77777777" w:rsidR="00A22845" w:rsidRPr="00A22845" w:rsidRDefault="00A22845" w:rsidP="00A22845"/>
    <w:sectPr w:rsidR="00A22845" w:rsidRPr="00A22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148E" w14:textId="77777777" w:rsidR="00D83777" w:rsidRDefault="00D83777" w:rsidP="002C2E0A">
      <w:pPr>
        <w:spacing w:after="0" w:line="240" w:lineRule="auto"/>
      </w:pPr>
      <w:r>
        <w:separator/>
      </w:r>
    </w:p>
  </w:endnote>
  <w:endnote w:type="continuationSeparator" w:id="0">
    <w:p w14:paraId="7A441243" w14:textId="77777777" w:rsidR="00D83777" w:rsidRDefault="00D83777" w:rsidP="002C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949D" w14:textId="77777777" w:rsidR="00D83777" w:rsidRDefault="00D83777" w:rsidP="002C2E0A">
      <w:pPr>
        <w:spacing w:after="0" w:line="240" w:lineRule="auto"/>
      </w:pPr>
      <w:r>
        <w:separator/>
      </w:r>
    </w:p>
  </w:footnote>
  <w:footnote w:type="continuationSeparator" w:id="0">
    <w:p w14:paraId="0AA7C294" w14:textId="77777777" w:rsidR="00D83777" w:rsidRDefault="00D83777" w:rsidP="002C2E0A">
      <w:pPr>
        <w:spacing w:after="0" w:line="240" w:lineRule="auto"/>
      </w:pPr>
      <w:r>
        <w:continuationSeparator/>
      </w:r>
    </w:p>
  </w:footnote>
  <w:footnote w:id="1">
    <w:p w14:paraId="423BC205" w14:textId="77777777" w:rsidR="003B6FBF" w:rsidRDefault="003B6FBF" w:rsidP="003B6FBF">
      <w:pPr>
        <w:pStyle w:val="FootnoteText"/>
      </w:pPr>
      <w:r>
        <w:rPr>
          <w:rStyle w:val="FootnoteReference"/>
        </w:rPr>
        <w:footnoteRef/>
      </w:r>
      <w:r>
        <w:t xml:space="preserve"> CSCN TIF 112 Serial 6 (2022-Oct-11) and </w:t>
      </w:r>
      <w:hyperlink r:id="rId1" w:history="1">
        <w:r w:rsidRPr="0027215D">
          <w:rPr>
            <w:rStyle w:val="Hyperlink"/>
          </w:rPr>
          <w:t>Numbering: The IoT SIM move to 15 digits</w:t>
        </w:r>
      </w:hyperlink>
      <w:r>
        <w:rPr>
          <w:rStyle w:val="Hyperlink"/>
        </w:rPr>
        <w:t xml:space="preserve"> (</w:t>
      </w:r>
      <w:hyperlink r:id="rId2" w:history="1">
        <w:r w:rsidRPr="00F83543">
          <w:rPr>
            <w:rStyle w:val="Hyperlink"/>
          </w:rPr>
          <w:t>https://www.orange-business.com/en/numbering-iot-sim-move-15-digits</w:t>
        </w:r>
      </w:hyperlink>
      <w:r>
        <w:rPr>
          <w:rStyle w:val="Hyperlink"/>
        </w:rPr>
        <w:t xml:space="preserve">) </w:t>
      </w:r>
    </w:p>
  </w:footnote>
  <w:footnote w:id="2">
    <w:p w14:paraId="098F0247" w14:textId="77777777" w:rsidR="003B6FBF" w:rsidRDefault="003B6FBF" w:rsidP="003B6FBF">
      <w:pPr>
        <w:pStyle w:val="FootnoteText"/>
        <w:jc w:val="both"/>
      </w:pPr>
      <w:r w:rsidRPr="00315B15">
        <w:rPr>
          <w:rStyle w:val="FootnoteReference"/>
        </w:rPr>
        <w:footnoteRef/>
      </w:r>
      <w:r w:rsidRPr="00315B15">
        <w:t xml:space="preserve"> Too long a block would be wasteful for Carriers with few devices to support.  Too short a block would be inefficient in terms of assignment and would make it difficult to find large blocks of numbers for very large IoT applications.  Further, it would be desirable for an extended 6YY code to align with the anticipated NANP Expansion (NANPE) format (e.g., phase 1: 1-688(0 or 1)-XNXX-XXXX phase 2: 1-688X-XNXX-XXXX).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FB2"/>
    <w:multiLevelType w:val="hybridMultilevel"/>
    <w:tmpl w:val="476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B60"/>
    <w:multiLevelType w:val="multilevel"/>
    <w:tmpl w:val="B4B65CFA"/>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45D07E0"/>
    <w:multiLevelType w:val="hybridMultilevel"/>
    <w:tmpl w:val="9370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81EEC"/>
    <w:multiLevelType w:val="hybridMultilevel"/>
    <w:tmpl w:val="D764A182"/>
    <w:lvl w:ilvl="0" w:tplc="7DFEF52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36C34"/>
    <w:multiLevelType w:val="hybridMultilevel"/>
    <w:tmpl w:val="9CACD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5E7706"/>
    <w:multiLevelType w:val="multilevel"/>
    <w:tmpl w:val="09C4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404E9"/>
    <w:multiLevelType w:val="multilevel"/>
    <w:tmpl w:val="2558F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4165DC"/>
    <w:multiLevelType w:val="hybridMultilevel"/>
    <w:tmpl w:val="D764A18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A34058"/>
    <w:multiLevelType w:val="hybridMultilevel"/>
    <w:tmpl w:val="767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80E31"/>
    <w:multiLevelType w:val="hybridMultilevel"/>
    <w:tmpl w:val="396AF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9623C"/>
    <w:multiLevelType w:val="multilevel"/>
    <w:tmpl w:val="E2C2C2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5757C7"/>
    <w:multiLevelType w:val="multilevel"/>
    <w:tmpl w:val="BCD60190"/>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F0AF8"/>
    <w:multiLevelType w:val="hybridMultilevel"/>
    <w:tmpl w:val="E37247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F25E14"/>
    <w:multiLevelType w:val="multilevel"/>
    <w:tmpl w:val="FB18840A"/>
    <w:lvl w:ilvl="0">
      <w:start w:val="1"/>
      <w:numFmt w:val="decimal"/>
      <w:lvlText w:val="%1.0"/>
      <w:lvlJc w:val="left"/>
      <w:pPr>
        <w:ind w:left="12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32204DB"/>
    <w:multiLevelType w:val="multilevel"/>
    <w:tmpl w:val="CCB6E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66420"/>
    <w:multiLevelType w:val="hybridMultilevel"/>
    <w:tmpl w:val="45A2A9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D4385B"/>
    <w:multiLevelType w:val="multilevel"/>
    <w:tmpl w:val="6E10D97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62535A69"/>
    <w:multiLevelType w:val="hybridMultilevel"/>
    <w:tmpl w:val="601EC1A8"/>
    <w:lvl w:ilvl="0" w:tplc="2DA20D5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00DA1"/>
    <w:multiLevelType w:val="multilevel"/>
    <w:tmpl w:val="0DDACA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B54074B"/>
    <w:multiLevelType w:val="hybridMultilevel"/>
    <w:tmpl w:val="DB5A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B5576"/>
    <w:multiLevelType w:val="hybridMultilevel"/>
    <w:tmpl w:val="A37E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067109">
    <w:abstractNumId w:val="8"/>
  </w:num>
  <w:num w:numId="2" w16cid:durableId="1971394524">
    <w:abstractNumId w:val="11"/>
  </w:num>
  <w:num w:numId="3" w16cid:durableId="632255240">
    <w:abstractNumId w:val="1"/>
  </w:num>
  <w:num w:numId="4" w16cid:durableId="1567640439">
    <w:abstractNumId w:val="17"/>
  </w:num>
  <w:num w:numId="5" w16cid:durableId="876771823">
    <w:abstractNumId w:val="10"/>
  </w:num>
  <w:num w:numId="6" w16cid:durableId="1570070177">
    <w:abstractNumId w:val="6"/>
  </w:num>
  <w:num w:numId="7" w16cid:durableId="1263611584">
    <w:abstractNumId w:val="18"/>
  </w:num>
  <w:num w:numId="8" w16cid:durableId="926572349">
    <w:abstractNumId w:val="16"/>
  </w:num>
  <w:num w:numId="9" w16cid:durableId="236477082">
    <w:abstractNumId w:val="13"/>
  </w:num>
  <w:num w:numId="10" w16cid:durableId="1261984302">
    <w:abstractNumId w:val="5"/>
  </w:num>
  <w:num w:numId="11" w16cid:durableId="739982958">
    <w:abstractNumId w:val="14"/>
  </w:num>
  <w:num w:numId="12" w16cid:durableId="705526394">
    <w:abstractNumId w:val="19"/>
  </w:num>
  <w:num w:numId="13" w16cid:durableId="1202670593">
    <w:abstractNumId w:val="0"/>
  </w:num>
  <w:num w:numId="14" w16cid:durableId="1121414571">
    <w:abstractNumId w:val="2"/>
  </w:num>
  <w:num w:numId="15" w16cid:durableId="26689005">
    <w:abstractNumId w:val="12"/>
  </w:num>
  <w:num w:numId="16" w16cid:durableId="1521430411">
    <w:abstractNumId w:val="15"/>
  </w:num>
  <w:num w:numId="17" w16cid:durableId="2036156043">
    <w:abstractNumId w:val="20"/>
  </w:num>
  <w:num w:numId="18" w16cid:durableId="44645884">
    <w:abstractNumId w:val="4"/>
  </w:num>
  <w:num w:numId="19" w16cid:durableId="369575394">
    <w:abstractNumId w:val="9"/>
  </w:num>
  <w:num w:numId="20" w16cid:durableId="1448088340">
    <w:abstractNumId w:val="3"/>
  </w:num>
  <w:num w:numId="21" w16cid:durableId="85228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0A"/>
    <w:rsid w:val="0000067E"/>
    <w:rsid w:val="000015FA"/>
    <w:rsid w:val="0000276F"/>
    <w:rsid w:val="00004ED3"/>
    <w:rsid w:val="00007F2A"/>
    <w:rsid w:val="0001335C"/>
    <w:rsid w:val="00013B3C"/>
    <w:rsid w:val="00020A28"/>
    <w:rsid w:val="000229ED"/>
    <w:rsid w:val="0002595E"/>
    <w:rsid w:val="00026274"/>
    <w:rsid w:val="00026B42"/>
    <w:rsid w:val="00027338"/>
    <w:rsid w:val="00027C09"/>
    <w:rsid w:val="00030F78"/>
    <w:rsid w:val="00034CD3"/>
    <w:rsid w:val="00037944"/>
    <w:rsid w:val="00037A97"/>
    <w:rsid w:val="00043FA3"/>
    <w:rsid w:val="0004585D"/>
    <w:rsid w:val="000471B3"/>
    <w:rsid w:val="00052B62"/>
    <w:rsid w:val="000560E9"/>
    <w:rsid w:val="00056981"/>
    <w:rsid w:val="00060D6B"/>
    <w:rsid w:val="00063538"/>
    <w:rsid w:val="00066C37"/>
    <w:rsid w:val="00070126"/>
    <w:rsid w:val="00070B1E"/>
    <w:rsid w:val="00070F44"/>
    <w:rsid w:val="00071B2D"/>
    <w:rsid w:val="00071B35"/>
    <w:rsid w:val="000728C2"/>
    <w:rsid w:val="00073684"/>
    <w:rsid w:val="00077C5C"/>
    <w:rsid w:val="00080C04"/>
    <w:rsid w:val="0008100D"/>
    <w:rsid w:val="0008117B"/>
    <w:rsid w:val="00084E79"/>
    <w:rsid w:val="000878C9"/>
    <w:rsid w:val="000A0A5E"/>
    <w:rsid w:val="000A0ED4"/>
    <w:rsid w:val="000A5061"/>
    <w:rsid w:val="000B0420"/>
    <w:rsid w:val="000B0D1E"/>
    <w:rsid w:val="000B2C52"/>
    <w:rsid w:val="000B4BB3"/>
    <w:rsid w:val="000C3051"/>
    <w:rsid w:val="000C5C95"/>
    <w:rsid w:val="000D401F"/>
    <w:rsid w:val="000D427F"/>
    <w:rsid w:val="000D6860"/>
    <w:rsid w:val="000E2649"/>
    <w:rsid w:val="000E3943"/>
    <w:rsid w:val="000E5C93"/>
    <w:rsid w:val="000F40C8"/>
    <w:rsid w:val="000F6CD1"/>
    <w:rsid w:val="000F6F10"/>
    <w:rsid w:val="00102D3E"/>
    <w:rsid w:val="00103513"/>
    <w:rsid w:val="0010600B"/>
    <w:rsid w:val="00107701"/>
    <w:rsid w:val="00111674"/>
    <w:rsid w:val="00114D52"/>
    <w:rsid w:val="0011511F"/>
    <w:rsid w:val="001170C5"/>
    <w:rsid w:val="001204A1"/>
    <w:rsid w:val="00122F0C"/>
    <w:rsid w:val="00123E55"/>
    <w:rsid w:val="001256B1"/>
    <w:rsid w:val="00125C74"/>
    <w:rsid w:val="001265A9"/>
    <w:rsid w:val="0012715C"/>
    <w:rsid w:val="0013056C"/>
    <w:rsid w:val="00130AFB"/>
    <w:rsid w:val="00131073"/>
    <w:rsid w:val="00131224"/>
    <w:rsid w:val="00132DC1"/>
    <w:rsid w:val="00133C4D"/>
    <w:rsid w:val="00133FC0"/>
    <w:rsid w:val="001370F2"/>
    <w:rsid w:val="001374EE"/>
    <w:rsid w:val="001379AF"/>
    <w:rsid w:val="00143151"/>
    <w:rsid w:val="00145C1B"/>
    <w:rsid w:val="00145D31"/>
    <w:rsid w:val="00147EC1"/>
    <w:rsid w:val="00151237"/>
    <w:rsid w:val="00151A02"/>
    <w:rsid w:val="001526DC"/>
    <w:rsid w:val="001538DC"/>
    <w:rsid w:val="0015579C"/>
    <w:rsid w:val="0015665B"/>
    <w:rsid w:val="00160A94"/>
    <w:rsid w:val="0016287B"/>
    <w:rsid w:val="00162B89"/>
    <w:rsid w:val="00163265"/>
    <w:rsid w:val="001642D0"/>
    <w:rsid w:val="00165911"/>
    <w:rsid w:val="001671A4"/>
    <w:rsid w:val="00167856"/>
    <w:rsid w:val="00171926"/>
    <w:rsid w:val="001763AD"/>
    <w:rsid w:val="00176DAD"/>
    <w:rsid w:val="001777BC"/>
    <w:rsid w:val="0018027B"/>
    <w:rsid w:val="001831F4"/>
    <w:rsid w:val="001879E8"/>
    <w:rsid w:val="00187A23"/>
    <w:rsid w:val="001911AB"/>
    <w:rsid w:val="00192DC3"/>
    <w:rsid w:val="00194B4C"/>
    <w:rsid w:val="00195A29"/>
    <w:rsid w:val="00196D56"/>
    <w:rsid w:val="00197E81"/>
    <w:rsid w:val="001A6D35"/>
    <w:rsid w:val="001A7C96"/>
    <w:rsid w:val="001A7CDE"/>
    <w:rsid w:val="001B05D3"/>
    <w:rsid w:val="001B0A58"/>
    <w:rsid w:val="001B1EEE"/>
    <w:rsid w:val="001B65A5"/>
    <w:rsid w:val="001C1A57"/>
    <w:rsid w:val="001C2530"/>
    <w:rsid w:val="001C25AD"/>
    <w:rsid w:val="001C3E92"/>
    <w:rsid w:val="001C710F"/>
    <w:rsid w:val="001D2389"/>
    <w:rsid w:val="001D43D6"/>
    <w:rsid w:val="001D4FC2"/>
    <w:rsid w:val="001D54ED"/>
    <w:rsid w:val="001D68FC"/>
    <w:rsid w:val="001D6F25"/>
    <w:rsid w:val="001E042B"/>
    <w:rsid w:val="001E227F"/>
    <w:rsid w:val="001E2E3A"/>
    <w:rsid w:val="001F0452"/>
    <w:rsid w:val="001F17BC"/>
    <w:rsid w:val="001F5533"/>
    <w:rsid w:val="001F55E9"/>
    <w:rsid w:val="00202456"/>
    <w:rsid w:val="002027C4"/>
    <w:rsid w:val="00203DBF"/>
    <w:rsid w:val="002040D5"/>
    <w:rsid w:val="00204699"/>
    <w:rsid w:val="002047AD"/>
    <w:rsid w:val="00205D5B"/>
    <w:rsid w:val="002060CD"/>
    <w:rsid w:val="0021020F"/>
    <w:rsid w:val="002119AE"/>
    <w:rsid w:val="00213300"/>
    <w:rsid w:val="00213507"/>
    <w:rsid w:val="0021591B"/>
    <w:rsid w:val="002159BC"/>
    <w:rsid w:val="00217A33"/>
    <w:rsid w:val="00220A98"/>
    <w:rsid w:val="00223B7E"/>
    <w:rsid w:val="00225E53"/>
    <w:rsid w:val="00227638"/>
    <w:rsid w:val="0023210B"/>
    <w:rsid w:val="00232378"/>
    <w:rsid w:val="00236D11"/>
    <w:rsid w:val="00241AF0"/>
    <w:rsid w:val="00242DBB"/>
    <w:rsid w:val="002434BD"/>
    <w:rsid w:val="00245956"/>
    <w:rsid w:val="0024596B"/>
    <w:rsid w:val="00245B97"/>
    <w:rsid w:val="002477F0"/>
    <w:rsid w:val="00250C63"/>
    <w:rsid w:val="00252095"/>
    <w:rsid w:val="00253676"/>
    <w:rsid w:val="00254961"/>
    <w:rsid w:val="002551AF"/>
    <w:rsid w:val="002601C5"/>
    <w:rsid w:val="002634BA"/>
    <w:rsid w:val="00267BAD"/>
    <w:rsid w:val="00272AD3"/>
    <w:rsid w:val="00272D10"/>
    <w:rsid w:val="00274C6E"/>
    <w:rsid w:val="00281139"/>
    <w:rsid w:val="00295CEA"/>
    <w:rsid w:val="00296A59"/>
    <w:rsid w:val="002A19B2"/>
    <w:rsid w:val="002A296E"/>
    <w:rsid w:val="002A365D"/>
    <w:rsid w:val="002A4B5A"/>
    <w:rsid w:val="002B0391"/>
    <w:rsid w:val="002B0476"/>
    <w:rsid w:val="002B323D"/>
    <w:rsid w:val="002B5334"/>
    <w:rsid w:val="002B54E1"/>
    <w:rsid w:val="002B6FF1"/>
    <w:rsid w:val="002C1056"/>
    <w:rsid w:val="002C15B0"/>
    <w:rsid w:val="002C1CED"/>
    <w:rsid w:val="002C29C7"/>
    <w:rsid w:val="002C2E0A"/>
    <w:rsid w:val="002C3774"/>
    <w:rsid w:val="002C543D"/>
    <w:rsid w:val="002D0FFD"/>
    <w:rsid w:val="002D3ABE"/>
    <w:rsid w:val="002D4992"/>
    <w:rsid w:val="002D5D00"/>
    <w:rsid w:val="002D76AD"/>
    <w:rsid w:val="002E1095"/>
    <w:rsid w:val="002E1E02"/>
    <w:rsid w:val="002E44E5"/>
    <w:rsid w:val="002E5165"/>
    <w:rsid w:val="002E756C"/>
    <w:rsid w:val="002F0AC6"/>
    <w:rsid w:val="002F222F"/>
    <w:rsid w:val="002F3552"/>
    <w:rsid w:val="002F4626"/>
    <w:rsid w:val="002F5D98"/>
    <w:rsid w:val="003004FD"/>
    <w:rsid w:val="00301522"/>
    <w:rsid w:val="00305280"/>
    <w:rsid w:val="00307811"/>
    <w:rsid w:val="00307DA7"/>
    <w:rsid w:val="00311F71"/>
    <w:rsid w:val="0031233E"/>
    <w:rsid w:val="003139CF"/>
    <w:rsid w:val="00315B15"/>
    <w:rsid w:val="00315CB8"/>
    <w:rsid w:val="003240FD"/>
    <w:rsid w:val="00324440"/>
    <w:rsid w:val="00331FCF"/>
    <w:rsid w:val="00332F83"/>
    <w:rsid w:val="003334AD"/>
    <w:rsid w:val="003334F2"/>
    <w:rsid w:val="0033369A"/>
    <w:rsid w:val="00335DF0"/>
    <w:rsid w:val="00335F60"/>
    <w:rsid w:val="003369BF"/>
    <w:rsid w:val="003375BE"/>
    <w:rsid w:val="003447BB"/>
    <w:rsid w:val="003458C9"/>
    <w:rsid w:val="003459A6"/>
    <w:rsid w:val="00346213"/>
    <w:rsid w:val="00351C5C"/>
    <w:rsid w:val="00355B19"/>
    <w:rsid w:val="00356342"/>
    <w:rsid w:val="00356672"/>
    <w:rsid w:val="0036124E"/>
    <w:rsid w:val="00361E07"/>
    <w:rsid w:val="00362619"/>
    <w:rsid w:val="00364586"/>
    <w:rsid w:val="00364C88"/>
    <w:rsid w:val="00364CCE"/>
    <w:rsid w:val="00370A66"/>
    <w:rsid w:val="00372A22"/>
    <w:rsid w:val="00374F09"/>
    <w:rsid w:val="0037703A"/>
    <w:rsid w:val="00384EC6"/>
    <w:rsid w:val="00385A44"/>
    <w:rsid w:val="003928DF"/>
    <w:rsid w:val="00396EC3"/>
    <w:rsid w:val="003A090A"/>
    <w:rsid w:val="003A0EA2"/>
    <w:rsid w:val="003A3DF1"/>
    <w:rsid w:val="003B14F1"/>
    <w:rsid w:val="003B63E3"/>
    <w:rsid w:val="003B6B39"/>
    <w:rsid w:val="003B6FBF"/>
    <w:rsid w:val="003B7673"/>
    <w:rsid w:val="003C016B"/>
    <w:rsid w:val="003C2D1B"/>
    <w:rsid w:val="003C4BBF"/>
    <w:rsid w:val="003D29A5"/>
    <w:rsid w:val="003D44B3"/>
    <w:rsid w:val="003D5EB8"/>
    <w:rsid w:val="003D6EF6"/>
    <w:rsid w:val="003E1403"/>
    <w:rsid w:val="003E4CB7"/>
    <w:rsid w:val="003E50EF"/>
    <w:rsid w:val="003F3599"/>
    <w:rsid w:val="003F4D0B"/>
    <w:rsid w:val="003F5877"/>
    <w:rsid w:val="003F594A"/>
    <w:rsid w:val="003F5CE0"/>
    <w:rsid w:val="003F780A"/>
    <w:rsid w:val="004039B5"/>
    <w:rsid w:val="00406B30"/>
    <w:rsid w:val="00406F02"/>
    <w:rsid w:val="00422BF7"/>
    <w:rsid w:val="004234E5"/>
    <w:rsid w:val="00424E86"/>
    <w:rsid w:val="00425A2C"/>
    <w:rsid w:val="00431BA5"/>
    <w:rsid w:val="00431EC7"/>
    <w:rsid w:val="00435A1A"/>
    <w:rsid w:val="00436DC0"/>
    <w:rsid w:val="004406DB"/>
    <w:rsid w:val="00440E50"/>
    <w:rsid w:val="004434F5"/>
    <w:rsid w:val="00444C00"/>
    <w:rsid w:val="00450DBA"/>
    <w:rsid w:val="00452FE8"/>
    <w:rsid w:val="0045645A"/>
    <w:rsid w:val="004565BF"/>
    <w:rsid w:val="00462154"/>
    <w:rsid w:val="00471F3C"/>
    <w:rsid w:val="004735D2"/>
    <w:rsid w:val="00473BA6"/>
    <w:rsid w:val="00474A5B"/>
    <w:rsid w:val="004755A7"/>
    <w:rsid w:val="00476D1D"/>
    <w:rsid w:val="00480A15"/>
    <w:rsid w:val="0048431B"/>
    <w:rsid w:val="00485391"/>
    <w:rsid w:val="004901B1"/>
    <w:rsid w:val="00494024"/>
    <w:rsid w:val="00494031"/>
    <w:rsid w:val="00494151"/>
    <w:rsid w:val="00497DAD"/>
    <w:rsid w:val="004A0DB9"/>
    <w:rsid w:val="004A480C"/>
    <w:rsid w:val="004A4F77"/>
    <w:rsid w:val="004A4FDC"/>
    <w:rsid w:val="004B03F1"/>
    <w:rsid w:val="004B6749"/>
    <w:rsid w:val="004C09AB"/>
    <w:rsid w:val="004C2ADB"/>
    <w:rsid w:val="004C5214"/>
    <w:rsid w:val="004C5DD4"/>
    <w:rsid w:val="004D0A2F"/>
    <w:rsid w:val="004D2B93"/>
    <w:rsid w:val="004D4399"/>
    <w:rsid w:val="004D5FBF"/>
    <w:rsid w:val="004D6BFE"/>
    <w:rsid w:val="004E23E9"/>
    <w:rsid w:val="004E2EB1"/>
    <w:rsid w:val="004E346A"/>
    <w:rsid w:val="004E40B5"/>
    <w:rsid w:val="004E62C2"/>
    <w:rsid w:val="004E79D9"/>
    <w:rsid w:val="004F149C"/>
    <w:rsid w:val="004F1795"/>
    <w:rsid w:val="004F28A3"/>
    <w:rsid w:val="00500064"/>
    <w:rsid w:val="00500C08"/>
    <w:rsid w:val="00501933"/>
    <w:rsid w:val="005041D6"/>
    <w:rsid w:val="005049BF"/>
    <w:rsid w:val="00506821"/>
    <w:rsid w:val="0051348F"/>
    <w:rsid w:val="00516A36"/>
    <w:rsid w:val="00517378"/>
    <w:rsid w:val="00517BD7"/>
    <w:rsid w:val="005203A2"/>
    <w:rsid w:val="00525C94"/>
    <w:rsid w:val="00526F4A"/>
    <w:rsid w:val="005271A1"/>
    <w:rsid w:val="00527E67"/>
    <w:rsid w:val="00530E08"/>
    <w:rsid w:val="005367C8"/>
    <w:rsid w:val="00537E52"/>
    <w:rsid w:val="005429BF"/>
    <w:rsid w:val="00542E68"/>
    <w:rsid w:val="005442C4"/>
    <w:rsid w:val="00544648"/>
    <w:rsid w:val="00546A37"/>
    <w:rsid w:val="00551428"/>
    <w:rsid w:val="005515ED"/>
    <w:rsid w:val="00553A63"/>
    <w:rsid w:val="00553B3C"/>
    <w:rsid w:val="00554168"/>
    <w:rsid w:val="00555CA7"/>
    <w:rsid w:val="005563E0"/>
    <w:rsid w:val="00556798"/>
    <w:rsid w:val="00557231"/>
    <w:rsid w:val="00557AB0"/>
    <w:rsid w:val="00557E4D"/>
    <w:rsid w:val="005608F7"/>
    <w:rsid w:val="00565BF5"/>
    <w:rsid w:val="0056632E"/>
    <w:rsid w:val="00567D59"/>
    <w:rsid w:val="005719F4"/>
    <w:rsid w:val="005737C9"/>
    <w:rsid w:val="00576236"/>
    <w:rsid w:val="005819DF"/>
    <w:rsid w:val="0058274F"/>
    <w:rsid w:val="00584032"/>
    <w:rsid w:val="00584EBF"/>
    <w:rsid w:val="00585D02"/>
    <w:rsid w:val="00591299"/>
    <w:rsid w:val="00593496"/>
    <w:rsid w:val="00593BBC"/>
    <w:rsid w:val="00593E54"/>
    <w:rsid w:val="00594AF1"/>
    <w:rsid w:val="00597982"/>
    <w:rsid w:val="005A240C"/>
    <w:rsid w:val="005A320A"/>
    <w:rsid w:val="005B2422"/>
    <w:rsid w:val="005B366F"/>
    <w:rsid w:val="005B41F2"/>
    <w:rsid w:val="005B4C18"/>
    <w:rsid w:val="005B70E0"/>
    <w:rsid w:val="005C0B36"/>
    <w:rsid w:val="005C3D72"/>
    <w:rsid w:val="005C53F5"/>
    <w:rsid w:val="005C5F35"/>
    <w:rsid w:val="005C6023"/>
    <w:rsid w:val="005D283F"/>
    <w:rsid w:val="005D45E5"/>
    <w:rsid w:val="005D6333"/>
    <w:rsid w:val="005E337E"/>
    <w:rsid w:val="005E547B"/>
    <w:rsid w:val="005E7D82"/>
    <w:rsid w:val="005F250E"/>
    <w:rsid w:val="005F3113"/>
    <w:rsid w:val="005F5891"/>
    <w:rsid w:val="00600F9A"/>
    <w:rsid w:val="00602DC8"/>
    <w:rsid w:val="0060558C"/>
    <w:rsid w:val="00605A3C"/>
    <w:rsid w:val="006069AD"/>
    <w:rsid w:val="00607023"/>
    <w:rsid w:val="00612C8C"/>
    <w:rsid w:val="00614331"/>
    <w:rsid w:val="0061640D"/>
    <w:rsid w:val="0061771E"/>
    <w:rsid w:val="0062188D"/>
    <w:rsid w:val="00621C30"/>
    <w:rsid w:val="00622CD1"/>
    <w:rsid w:val="006233B0"/>
    <w:rsid w:val="00623BF3"/>
    <w:rsid w:val="00623CBD"/>
    <w:rsid w:val="0062441A"/>
    <w:rsid w:val="00626494"/>
    <w:rsid w:val="006279B5"/>
    <w:rsid w:val="00627B3C"/>
    <w:rsid w:val="00630AFC"/>
    <w:rsid w:val="00635AF2"/>
    <w:rsid w:val="00635F8F"/>
    <w:rsid w:val="00636358"/>
    <w:rsid w:val="00640A55"/>
    <w:rsid w:val="00640C08"/>
    <w:rsid w:val="00640C83"/>
    <w:rsid w:val="00641419"/>
    <w:rsid w:val="0064235F"/>
    <w:rsid w:val="00643C6A"/>
    <w:rsid w:val="00647957"/>
    <w:rsid w:val="0065095E"/>
    <w:rsid w:val="00652BE0"/>
    <w:rsid w:val="0065467A"/>
    <w:rsid w:val="00660A4B"/>
    <w:rsid w:val="006631B1"/>
    <w:rsid w:val="0066786C"/>
    <w:rsid w:val="0067113C"/>
    <w:rsid w:val="0067176B"/>
    <w:rsid w:val="00671E58"/>
    <w:rsid w:val="006808E4"/>
    <w:rsid w:val="00680E68"/>
    <w:rsid w:val="0068350F"/>
    <w:rsid w:val="00683AAA"/>
    <w:rsid w:val="0068483E"/>
    <w:rsid w:val="006855F9"/>
    <w:rsid w:val="006863B5"/>
    <w:rsid w:val="00686E4B"/>
    <w:rsid w:val="00690F12"/>
    <w:rsid w:val="006917FF"/>
    <w:rsid w:val="006931D6"/>
    <w:rsid w:val="00694FCF"/>
    <w:rsid w:val="006962A8"/>
    <w:rsid w:val="006A1BE0"/>
    <w:rsid w:val="006A220C"/>
    <w:rsid w:val="006B2C12"/>
    <w:rsid w:val="006B3178"/>
    <w:rsid w:val="006B3EFE"/>
    <w:rsid w:val="006B4761"/>
    <w:rsid w:val="006B51F8"/>
    <w:rsid w:val="006B6A0E"/>
    <w:rsid w:val="006C0351"/>
    <w:rsid w:val="006C1C46"/>
    <w:rsid w:val="006C6857"/>
    <w:rsid w:val="006D028C"/>
    <w:rsid w:val="006D228B"/>
    <w:rsid w:val="006D63ED"/>
    <w:rsid w:val="006D7943"/>
    <w:rsid w:val="006D79B8"/>
    <w:rsid w:val="006E117A"/>
    <w:rsid w:val="006E5593"/>
    <w:rsid w:val="006F2D41"/>
    <w:rsid w:val="006F3AEE"/>
    <w:rsid w:val="006F3EE0"/>
    <w:rsid w:val="006F4E36"/>
    <w:rsid w:val="006F553C"/>
    <w:rsid w:val="007040C4"/>
    <w:rsid w:val="007041C7"/>
    <w:rsid w:val="00704B13"/>
    <w:rsid w:val="00705DAE"/>
    <w:rsid w:val="007062DF"/>
    <w:rsid w:val="0070763C"/>
    <w:rsid w:val="007104D7"/>
    <w:rsid w:val="007110A3"/>
    <w:rsid w:val="0071185F"/>
    <w:rsid w:val="00711BE9"/>
    <w:rsid w:val="00712129"/>
    <w:rsid w:val="00712868"/>
    <w:rsid w:val="007132D0"/>
    <w:rsid w:val="007213F6"/>
    <w:rsid w:val="00721F49"/>
    <w:rsid w:val="007243E3"/>
    <w:rsid w:val="00724E17"/>
    <w:rsid w:val="007267AC"/>
    <w:rsid w:val="00730199"/>
    <w:rsid w:val="0073074E"/>
    <w:rsid w:val="00731B46"/>
    <w:rsid w:val="0073562D"/>
    <w:rsid w:val="00735A21"/>
    <w:rsid w:val="007366B3"/>
    <w:rsid w:val="00740E6F"/>
    <w:rsid w:val="0074113A"/>
    <w:rsid w:val="00741322"/>
    <w:rsid w:val="0074200D"/>
    <w:rsid w:val="00743F02"/>
    <w:rsid w:val="00746268"/>
    <w:rsid w:val="00752DD5"/>
    <w:rsid w:val="00754764"/>
    <w:rsid w:val="00756864"/>
    <w:rsid w:val="00757913"/>
    <w:rsid w:val="007579F2"/>
    <w:rsid w:val="00760313"/>
    <w:rsid w:val="0076409F"/>
    <w:rsid w:val="00766637"/>
    <w:rsid w:val="00767E35"/>
    <w:rsid w:val="0077429B"/>
    <w:rsid w:val="00774367"/>
    <w:rsid w:val="00774DAF"/>
    <w:rsid w:val="00781596"/>
    <w:rsid w:val="00781B4A"/>
    <w:rsid w:val="00787D68"/>
    <w:rsid w:val="007901C4"/>
    <w:rsid w:val="00793C20"/>
    <w:rsid w:val="007958E6"/>
    <w:rsid w:val="007976EA"/>
    <w:rsid w:val="007A030F"/>
    <w:rsid w:val="007A1AE4"/>
    <w:rsid w:val="007A2746"/>
    <w:rsid w:val="007A4D39"/>
    <w:rsid w:val="007A509E"/>
    <w:rsid w:val="007A633C"/>
    <w:rsid w:val="007A7D41"/>
    <w:rsid w:val="007A7E79"/>
    <w:rsid w:val="007B0438"/>
    <w:rsid w:val="007B1682"/>
    <w:rsid w:val="007B1B40"/>
    <w:rsid w:val="007B2788"/>
    <w:rsid w:val="007B2D8D"/>
    <w:rsid w:val="007B4EAF"/>
    <w:rsid w:val="007B70AE"/>
    <w:rsid w:val="007B7965"/>
    <w:rsid w:val="007C0B1F"/>
    <w:rsid w:val="007C3162"/>
    <w:rsid w:val="007C7E1A"/>
    <w:rsid w:val="007C7FE1"/>
    <w:rsid w:val="007D0EDE"/>
    <w:rsid w:val="007D1C23"/>
    <w:rsid w:val="007D3863"/>
    <w:rsid w:val="007D4D98"/>
    <w:rsid w:val="007D4E9A"/>
    <w:rsid w:val="007D5FC0"/>
    <w:rsid w:val="007D7E87"/>
    <w:rsid w:val="007E1383"/>
    <w:rsid w:val="007E733C"/>
    <w:rsid w:val="007E781E"/>
    <w:rsid w:val="007F3255"/>
    <w:rsid w:val="007F3BE5"/>
    <w:rsid w:val="007F412F"/>
    <w:rsid w:val="007F62D9"/>
    <w:rsid w:val="00801454"/>
    <w:rsid w:val="00801D02"/>
    <w:rsid w:val="0080540A"/>
    <w:rsid w:val="00811630"/>
    <w:rsid w:val="008127E1"/>
    <w:rsid w:val="0081443D"/>
    <w:rsid w:val="0081516B"/>
    <w:rsid w:val="0081524B"/>
    <w:rsid w:val="00815F8D"/>
    <w:rsid w:val="008177F7"/>
    <w:rsid w:val="00823012"/>
    <w:rsid w:val="0082336C"/>
    <w:rsid w:val="0082461C"/>
    <w:rsid w:val="0082586D"/>
    <w:rsid w:val="00825BA5"/>
    <w:rsid w:val="00826A66"/>
    <w:rsid w:val="00826D3D"/>
    <w:rsid w:val="00827075"/>
    <w:rsid w:val="008309D4"/>
    <w:rsid w:val="0083374C"/>
    <w:rsid w:val="00833DE8"/>
    <w:rsid w:val="008356EB"/>
    <w:rsid w:val="00835D3B"/>
    <w:rsid w:val="00836C8D"/>
    <w:rsid w:val="00837BF2"/>
    <w:rsid w:val="00842D08"/>
    <w:rsid w:val="00844433"/>
    <w:rsid w:val="00844E24"/>
    <w:rsid w:val="00844E77"/>
    <w:rsid w:val="00845A4D"/>
    <w:rsid w:val="00846E8F"/>
    <w:rsid w:val="0085070A"/>
    <w:rsid w:val="00851DDA"/>
    <w:rsid w:val="00852ED8"/>
    <w:rsid w:val="00873B82"/>
    <w:rsid w:val="008806D4"/>
    <w:rsid w:val="00881A6D"/>
    <w:rsid w:val="00882355"/>
    <w:rsid w:val="00885A1C"/>
    <w:rsid w:val="008877F1"/>
    <w:rsid w:val="00890B4D"/>
    <w:rsid w:val="00891B8C"/>
    <w:rsid w:val="00892B10"/>
    <w:rsid w:val="008939BE"/>
    <w:rsid w:val="008944B2"/>
    <w:rsid w:val="00895055"/>
    <w:rsid w:val="00896069"/>
    <w:rsid w:val="008A0110"/>
    <w:rsid w:val="008A122E"/>
    <w:rsid w:val="008A18E0"/>
    <w:rsid w:val="008A2515"/>
    <w:rsid w:val="008A2EBE"/>
    <w:rsid w:val="008A3C7B"/>
    <w:rsid w:val="008A48A7"/>
    <w:rsid w:val="008B0D14"/>
    <w:rsid w:val="008B3449"/>
    <w:rsid w:val="008B7ABC"/>
    <w:rsid w:val="008C0997"/>
    <w:rsid w:val="008C3069"/>
    <w:rsid w:val="008C65B9"/>
    <w:rsid w:val="008D0DC4"/>
    <w:rsid w:val="008D1E8E"/>
    <w:rsid w:val="008D3173"/>
    <w:rsid w:val="008E03E3"/>
    <w:rsid w:val="008E1C32"/>
    <w:rsid w:val="008E2E0A"/>
    <w:rsid w:val="008E3023"/>
    <w:rsid w:val="008E3863"/>
    <w:rsid w:val="008E49DB"/>
    <w:rsid w:val="008E5FE5"/>
    <w:rsid w:val="008F0931"/>
    <w:rsid w:val="008F1BD0"/>
    <w:rsid w:val="008F46DE"/>
    <w:rsid w:val="008F4D6D"/>
    <w:rsid w:val="008F743B"/>
    <w:rsid w:val="00900B6C"/>
    <w:rsid w:val="00901944"/>
    <w:rsid w:val="00901DEB"/>
    <w:rsid w:val="009037E1"/>
    <w:rsid w:val="00907349"/>
    <w:rsid w:val="009106F6"/>
    <w:rsid w:val="0091391A"/>
    <w:rsid w:val="009152CC"/>
    <w:rsid w:val="00921BDD"/>
    <w:rsid w:val="0092408B"/>
    <w:rsid w:val="00924F4E"/>
    <w:rsid w:val="009251ED"/>
    <w:rsid w:val="009258B6"/>
    <w:rsid w:val="00925D7F"/>
    <w:rsid w:val="009276E5"/>
    <w:rsid w:val="009331B1"/>
    <w:rsid w:val="009368EC"/>
    <w:rsid w:val="009405F4"/>
    <w:rsid w:val="0094257B"/>
    <w:rsid w:val="0094271D"/>
    <w:rsid w:val="00944DB4"/>
    <w:rsid w:val="009469DA"/>
    <w:rsid w:val="00950A79"/>
    <w:rsid w:val="009529F9"/>
    <w:rsid w:val="00953607"/>
    <w:rsid w:val="00957D0F"/>
    <w:rsid w:val="0096060F"/>
    <w:rsid w:val="0096156B"/>
    <w:rsid w:val="00961DF7"/>
    <w:rsid w:val="00961FD9"/>
    <w:rsid w:val="009650B6"/>
    <w:rsid w:val="00965425"/>
    <w:rsid w:val="00965E65"/>
    <w:rsid w:val="0096668D"/>
    <w:rsid w:val="00970DF9"/>
    <w:rsid w:val="00975FB0"/>
    <w:rsid w:val="009800BB"/>
    <w:rsid w:val="00980F28"/>
    <w:rsid w:val="009818EF"/>
    <w:rsid w:val="0098654B"/>
    <w:rsid w:val="009865CA"/>
    <w:rsid w:val="00986FFC"/>
    <w:rsid w:val="009908A3"/>
    <w:rsid w:val="00994C71"/>
    <w:rsid w:val="009A00FA"/>
    <w:rsid w:val="009A2686"/>
    <w:rsid w:val="009A3974"/>
    <w:rsid w:val="009A4881"/>
    <w:rsid w:val="009A7222"/>
    <w:rsid w:val="009B029C"/>
    <w:rsid w:val="009B2909"/>
    <w:rsid w:val="009C0873"/>
    <w:rsid w:val="009C366C"/>
    <w:rsid w:val="009C3E7C"/>
    <w:rsid w:val="009C552D"/>
    <w:rsid w:val="009C6D01"/>
    <w:rsid w:val="009C7C0D"/>
    <w:rsid w:val="009D1038"/>
    <w:rsid w:val="009D2744"/>
    <w:rsid w:val="009E3BB8"/>
    <w:rsid w:val="009E60E0"/>
    <w:rsid w:val="009E6E24"/>
    <w:rsid w:val="009F0126"/>
    <w:rsid w:val="009F107B"/>
    <w:rsid w:val="009F21D0"/>
    <w:rsid w:val="009F3A47"/>
    <w:rsid w:val="00A02A9C"/>
    <w:rsid w:val="00A04A26"/>
    <w:rsid w:val="00A055BA"/>
    <w:rsid w:val="00A07021"/>
    <w:rsid w:val="00A07066"/>
    <w:rsid w:val="00A07AA3"/>
    <w:rsid w:val="00A11EDD"/>
    <w:rsid w:val="00A14713"/>
    <w:rsid w:val="00A15E21"/>
    <w:rsid w:val="00A178CC"/>
    <w:rsid w:val="00A22845"/>
    <w:rsid w:val="00A22C65"/>
    <w:rsid w:val="00A22CEC"/>
    <w:rsid w:val="00A23C5F"/>
    <w:rsid w:val="00A2739E"/>
    <w:rsid w:val="00A30C00"/>
    <w:rsid w:val="00A3509F"/>
    <w:rsid w:val="00A360BE"/>
    <w:rsid w:val="00A364A1"/>
    <w:rsid w:val="00A40F78"/>
    <w:rsid w:val="00A424A0"/>
    <w:rsid w:val="00A51046"/>
    <w:rsid w:val="00A535D6"/>
    <w:rsid w:val="00A7039B"/>
    <w:rsid w:val="00A70541"/>
    <w:rsid w:val="00A706EB"/>
    <w:rsid w:val="00A71F39"/>
    <w:rsid w:val="00A72617"/>
    <w:rsid w:val="00A73479"/>
    <w:rsid w:val="00A74423"/>
    <w:rsid w:val="00A74502"/>
    <w:rsid w:val="00A771F1"/>
    <w:rsid w:val="00A81A0D"/>
    <w:rsid w:val="00A82A24"/>
    <w:rsid w:val="00A82CE9"/>
    <w:rsid w:val="00A8323A"/>
    <w:rsid w:val="00A84A44"/>
    <w:rsid w:val="00A8538E"/>
    <w:rsid w:val="00A8594F"/>
    <w:rsid w:val="00A86885"/>
    <w:rsid w:val="00A86948"/>
    <w:rsid w:val="00A90CA8"/>
    <w:rsid w:val="00A9428B"/>
    <w:rsid w:val="00A9433E"/>
    <w:rsid w:val="00A95DDB"/>
    <w:rsid w:val="00A961A9"/>
    <w:rsid w:val="00A96EC9"/>
    <w:rsid w:val="00A9740A"/>
    <w:rsid w:val="00A97BB7"/>
    <w:rsid w:val="00AB3AA8"/>
    <w:rsid w:val="00AB4580"/>
    <w:rsid w:val="00AB5D93"/>
    <w:rsid w:val="00AB70A8"/>
    <w:rsid w:val="00AC10E3"/>
    <w:rsid w:val="00AC3123"/>
    <w:rsid w:val="00AC3867"/>
    <w:rsid w:val="00AC5449"/>
    <w:rsid w:val="00AC5AE9"/>
    <w:rsid w:val="00AC5B15"/>
    <w:rsid w:val="00AC5DCC"/>
    <w:rsid w:val="00AD3829"/>
    <w:rsid w:val="00AD3D8C"/>
    <w:rsid w:val="00AD4414"/>
    <w:rsid w:val="00AD614F"/>
    <w:rsid w:val="00AD790A"/>
    <w:rsid w:val="00AE4091"/>
    <w:rsid w:val="00AE4A97"/>
    <w:rsid w:val="00AE6EBC"/>
    <w:rsid w:val="00AE7D5E"/>
    <w:rsid w:val="00AF075B"/>
    <w:rsid w:val="00AF2BF0"/>
    <w:rsid w:val="00AF354C"/>
    <w:rsid w:val="00AF3868"/>
    <w:rsid w:val="00AF5463"/>
    <w:rsid w:val="00AF6799"/>
    <w:rsid w:val="00AF7024"/>
    <w:rsid w:val="00AF7F78"/>
    <w:rsid w:val="00B00B39"/>
    <w:rsid w:val="00B01532"/>
    <w:rsid w:val="00B02A4A"/>
    <w:rsid w:val="00B03F8F"/>
    <w:rsid w:val="00B046FA"/>
    <w:rsid w:val="00B05CB6"/>
    <w:rsid w:val="00B05D0C"/>
    <w:rsid w:val="00B12222"/>
    <w:rsid w:val="00B12A81"/>
    <w:rsid w:val="00B13628"/>
    <w:rsid w:val="00B138BC"/>
    <w:rsid w:val="00B1450C"/>
    <w:rsid w:val="00B15EE9"/>
    <w:rsid w:val="00B217FC"/>
    <w:rsid w:val="00B21E75"/>
    <w:rsid w:val="00B2407B"/>
    <w:rsid w:val="00B25D4B"/>
    <w:rsid w:val="00B313A3"/>
    <w:rsid w:val="00B320EB"/>
    <w:rsid w:val="00B33F89"/>
    <w:rsid w:val="00B34C6D"/>
    <w:rsid w:val="00B36BFB"/>
    <w:rsid w:val="00B4144C"/>
    <w:rsid w:val="00B46207"/>
    <w:rsid w:val="00B5048F"/>
    <w:rsid w:val="00B511DF"/>
    <w:rsid w:val="00B52C6A"/>
    <w:rsid w:val="00B52EC8"/>
    <w:rsid w:val="00B55132"/>
    <w:rsid w:val="00B57CA8"/>
    <w:rsid w:val="00B60FBB"/>
    <w:rsid w:val="00B626E3"/>
    <w:rsid w:val="00B64FB9"/>
    <w:rsid w:val="00B710C8"/>
    <w:rsid w:val="00B71207"/>
    <w:rsid w:val="00B71B19"/>
    <w:rsid w:val="00B71BB1"/>
    <w:rsid w:val="00B72D9E"/>
    <w:rsid w:val="00B73A2C"/>
    <w:rsid w:val="00B82118"/>
    <w:rsid w:val="00B830A5"/>
    <w:rsid w:val="00B83789"/>
    <w:rsid w:val="00B95BC5"/>
    <w:rsid w:val="00BA1250"/>
    <w:rsid w:val="00BA4AE0"/>
    <w:rsid w:val="00BA5019"/>
    <w:rsid w:val="00BA5E6C"/>
    <w:rsid w:val="00BA6CCC"/>
    <w:rsid w:val="00BB0B30"/>
    <w:rsid w:val="00BB5A5E"/>
    <w:rsid w:val="00BB668D"/>
    <w:rsid w:val="00BB7643"/>
    <w:rsid w:val="00BC08D3"/>
    <w:rsid w:val="00BC0BED"/>
    <w:rsid w:val="00BC2F24"/>
    <w:rsid w:val="00BC35A6"/>
    <w:rsid w:val="00BC6F85"/>
    <w:rsid w:val="00BD1A21"/>
    <w:rsid w:val="00BD1C61"/>
    <w:rsid w:val="00BD1D51"/>
    <w:rsid w:val="00BD50D1"/>
    <w:rsid w:val="00BD6B23"/>
    <w:rsid w:val="00BD7CC6"/>
    <w:rsid w:val="00BE076D"/>
    <w:rsid w:val="00BE2030"/>
    <w:rsid w:val="00BE2D5C"/>
    <w:rsid w:val="00BE2E32"/>
    <w:rsid w:val="00BE3F34"/>
    <w:rsid w:val="00BE4C3B"/>
    <w:rsid w:val="00BF00C5"/>
    <w:rsid w:val="00BF27C4"/>
    <w:rsid w:val="00BF5346"/>
    <w:rsid w:val="00C01213"/>
    <w:rsid w:val="00C05BBD"/>
    <w:rsid w:val="00C06A76"/>
    <w:rsid w:val="00C0718F"/>
    <w:rsid w:val="00C1006B"/>
    <w:rsid w:val="00C10771"/>
    <w:rsid w:val="00C134CC"/>
    <w:rsid w:val="00C1352B"/>
    <w:rsid w:val="00C1649C"/>
    <w:rsid w:val="00C16AA8"/>
    <w:rsid w:val="00C17C0C"/>
    <w:rsid w:val="00C24ED3"/>
    <w:rsid w:val="00C274A8"/>
    <w:rsid w:val="00C27920"/>
    <w:rsid w:val="00C313B7"/>
    <w:rsid w:val="00C3177C"/>
    <w:rsid w:val="00C329D4"/>
    <w:rsid w:val="00C33289"/>
    <w:rsid w:val="00C338A4"/>
    <w:rsid w:val="00C34156"/>
    <w:rsid w:val="00C3590C"/>
    <w:rsid w:val="00C36B97"/>
    <w:rsid w:val="00C40030"/>
    <w:rsid w:val="00C43AE2"/>
    <w:rsid w:val="00C50E6C"/>
    <w:rsid w:val="00C512DF"/>
    <w:rsid w:val="00C51F36"/>
    <w:rsid w:val="00C61805"/>
    <w:rsid w:val="00C6388F"/>
    <w:rsid w:val="00C63983"/>
    <w:rsid w:val="00C7408E"/>
    <w:rsid w:val="00C77FCA"/>
    <w:rsid w:val="00C803A6"/>
    <w:rsid w:val="00C82774"/>
    <w:rsid w:val="00C848F9"/>
    <w:rsid w:val="00C866BB"/>
    <w:rsid w:val="00C87DFD"/>
    <w:rsid w:val="00C9151A"/>
    <w:rsid w:val="00C95522"/>
    <w:rsid w:val="00C95673"/>
    <w:rsid w:val="00C97732"/>
    <w:rsid w:val="00CA2065"/>
    <w:rsid w:val="00CA47B9"/>
    <w:rsid w:val="00CA5B23"/>
    <w:rsid w:val="00CA73D2"/>
    <w:rsid w:val="00CB2A96"/>
    <w:rsid w:val="00CB5924"/>
    <w:rsid w:val="00CB5F67"/>
    <w:rsid w:val="00CB741D"/>
    <w:rsid w:val="00CC0851"/>
    <w:rsid w:val="00CC1BA6"/>
    <w:rsid w:val="00CC21D8"/>
    <w:rsid w:val="00CC797C"/>
    <w:rsid w:val="00CD3A30"/>
    <w:rsid w:val="00CD5C8D"/>
    <w:rsid w:val="00CE173A"/>
    <w:rsid w:val="00CE3CD0"/>
    <w:rsid w:val="00CE435F"/>
    <w:rsid w:val="00CE4EB2"/>
    <w:rsid w:val="00CE6DC2"/>
    <w:rsid w:val="00CE7D61"/>
    <w:rsid w:val="00CF26B1"/>
    <w:rsid w:val="00CF4F23"/>
    <w:rsid w:val="00CF51D7"/>
    <w:rsid w:val="00CF714B"/>
    <w:rsid w:val="00D01BCE"/>
    <w:rsid w:val="00D02C74"/>
    <w:rsid w:val="00D02D71"/>
    <w:rsid w:val="00D05515"/>
    <w:rsid w:val="00D13F34"/>
    <w:rsid w:val="00D22CB8"/>
    <w:rsid w:val="00D2770E"/>
    <w:rsid w:val="00D33F8E"/>
    <w:rsid w:val="00D41215"/>
    <w:rsid w:val="00D41452"/>
    <w:rsid w:val="00D41A0A"/>
    <w:rsid w:val="00D42043"/>
    <w:rsid w:val="00D42AD3"/>
    <w:rsid w:val="00D42ED9"/>
    <w:rsid w:val="00D44B03"/>
    <w:rsid w:val="00D46071"/>
    <w:rsid w:val="00D464BA"/>
    <w:rsid w:val="00D47E2A"/>
    <w:rsid w:val="00D501C1"/>
    <w:rsid w:val="00D5245C"/>
    <w:rsid w:val="00D542DE"/>
    <w:rsid w:val="00D555BE"/>
    <w:rsid w:val="00D57315"/>
    <w:rsid w:val="00D57FA2"/>
    <w:rsid w:val="00D641E6"/>
    <w:rsid w:val="00D65398"/>
    <w:rsid w:val="00D6562B"/>
    <w:rsid w:val="00D67156"/>
    <w:rsid w:val="00D703F9"/>
    <w:rsid w:val="00D713F2"/>
    <w:rsid w:val="00D71B4B"/>
    <w:rsid w:val="00D732FC"/>
    <w:rsid w:val="00D73F2D"/>
    <w:rsid w:val="00D74305"/>
    <w:rsid w:val="00D745B5"/>
    <w:rsid w:val="00D74AD2"/>
    <w:rsid w:val="00D76808"/>
    <w:rsid w:val="00D76996"/>
    <w:rsid w:val="00D817A0"/>
    <w:rsid w:val="00D81C9D"/>
    <w:rsid w:val="00D83777"/>
    <w:rsid w:val="00D85559"/>
    <w:rsid w:val="00D97857"/>
    <w:rsid w:val="00DA266E"/>
    <w:rsid w:val="00DA5999"/>
    <w:rsid w:val="00DB02E1"/>
    <w:rsid w:val="00DB0E26"/>
    <w:rsid w:val="00DB2A47"/>
    <w:rsid w:val="00DB4A78"/>
    <w:rsid w:val="00DB6081"/>
    <w:rsid w:val="00DC0B3D"/>
    <w:rsid w:val="00DD21EE"/>
    <w:rsid w:val="00DE0DE3"/>
    <w:rsid w:val="00DE1459"/>
    <w:rsid w:val="00DE28E5"/>
    <w:rsid w:val="00DE2F7A"/>
    <w:rsid w:val="00DE44B7"/>
    <w:rsid w:val="00DE5E43"/>
    <w:rsid w:val="00DE6F80"/>
    <w:rsid w:val="00DF0565"/>
    <w:rsid w:val="00DF2C8E"/>
    <w:rsid w:val="00DF41CA"/>
    <w:rsid w:val="00DF49A0"/>
    <w:rsid w:val="00DF6FFC"/>
    <w:rsid w:val="00DF72E5"/>
    <w:rsid w:val="00E00DE8"/>
    <w:rsid w:val="00E05E8C"/>
    <w:rsid w:val="00E06D15"/>
    <w:rsid w:val="00E13C3F"/>
    <w:rsid w:val="00E13D65"/>
    <w:rsid w:val="00E142E9"/>
    <w:rsid w:val="00E17069"/>
    <w:rsid w:val="00E21955"/>
    <w:rsid w:val="00E2358E"/>
    <w:rsid w:val="00E240D9"/>
    <w:rsid w:val="00E368B1"/>
    <w:rsid w:val="00E41194"/>
    <w:rsid w:val="00E41D77"/>
    <w:rsid w:val="00E42B3C"/>
    <w:rsid w:val="00E43A83"/>
    <w:rsid w:val="00E441E8"/>
    <w:rsid w:val="00E46361"/>
    <w:rsid w:val="00E4727B"/>
    <w:rsid w:val="00E47B30"/>
    <w:rsid w:val="00E50BCF"/>
    <w:rsid w:val="00E55CD5"/>
    <w:rsid w:val="00E55E94"/>
    <w:rsid w:val="00E577D3"/>
    <w:rsid w:val="00E67616"/>
    <w:rsid w:val="00E71C0E"/>
    <w:rsid w:val="00E75E80"/>
    <w:rsid w:val="00E77FB9"/>
    <w:rsid w:val="00E8235B"/>
    <w:rsid w:val="00E840F0"/>
    <w:rsid w:val="00E84CC9"/>
    <w:rsid w:val="00E875FB"/>
    <w:rsid w:val="00E936E0"/>
    <w:rsid w:val="00E9540F"/>
    <w:rsid w:val="00EA2786"/>
    <w:rsid w:val="00EA27B2"/>
    <w:rsid w:val="00EA4782"/>
    <w:rsid w:val="00EA562C"/>
    <w:rsid w:val="00EA6EE8"/>
    <w:rsid w:val="00EA756A"/>
    <w:rsid w:val="00EB1E46"/>
    <w:rsid w:val="00EB2D52"/>
    <w:rsid w:val="00EB314A"/>
    <w:rsid w:val="00EB3914"/>
    <w:rsid w:val="00EC0CA7"/>
    <w:rsid w:val="00EC15A4"/>
    <w:rsid w:val="00EC7835"/>
    <w:rsid w:val="00ED0254"/>
    <w:rsid w:val="00ED0661"/>
    <w:rsid w:val="00ED16F0"/>
    <w:rsid w:val="00ED17FC"/>
    <w:rsid w:val="00ED3442"/>
    <w:rsid w:val="00ED4CA5"/>
    <w:rsid w:val="00ED5EAA"/>
    <w:rsid w:val="00ED7706"/>
    <w:rsid w:val="00ED7DD7"/>
    <w:rsid w:val="00EE1A0E"/>
    <w:rsid w:val="00EE2AAA"/>
    <w:rsid w:val="00EE5F3C"/>
    <w:rsid w:val="00EE6B60"/>
    <w:rsid w:val="00EF2279"/>
    <w:rsid w:val="00EF2B0F"/>
    <w:rsid w:val="00EF2FC8"/>
    <w:rsid w:val="00EF4DE3"/>
    <w:rsid w:val="00EF5B9C"/>
    <w:rsid w:val="00F01FA6"/>
    <w:rsid w:val="00F03010"/>
    <w:rsid w:val="00F03EA7"/>
    <w:rsid w:val="00F04F2E"/>
    <w:rsid w:val="00F07669"/>
    <w:rsid w:val="00F1100A"/>
    <w:rsid w:val="00F1478A"/>
    <w:rsid w:val="00F15416"/>
    <w:rsid w:val="00F16FD1"/>
    <w:rsid w:val="00F1767C"/>
    <w:rsid w:val="00F20CB5"/>
    <w:rsid w:val="00F24BF1"/>
    <w:rsid w:val="00F31FFB"/>
    <w:rsid w:val="00F33CAC"/>
    <w:rsid w:val="00F4329B"/>
    <w:rsid w:val="00F45E1A"/>
    <w:rsid w:val="00F5164C"/>
    <w:rsid w:val="00F524F9"/>
    <w:rsid w:val="00F553EC"/>
    <w:rsid w:val="00F56A3A"/>
    <w:rsid w:val="00F6246B"/>
    <w:rsid w:val="00F66EAC"/>
    <w:rsid w:val="00F70DBB"/>
    <w:rsid w:val="00F7230A"/>
    <w:rsid w:val="00F72A6C"/>
    <w:rsid w:val="00F74DDF"/>
    <w:rsid w:val="00F75323"/>
    <w:rsid w:val="00F75970"/>
    <w:rsid w:val="00F7729A"/>
    <w:rsid w:val="00F77532"/>
    <w:rsid w:val="00F77F69"/>
    <w:rsid w:val="00F812F2"/>
    <w:rsid w:val="00F825FB"/>
    <w:rsid w:val="00F8778C"/>
    <w:rsid w:val="00F87A13"/>
    <w:rsid w:val="00F87E94"/>
    <w:rsid w:val="00F90981"/>
    <w:rsid w:val="00F91B87"/>
    <w:rsid w:val="00F94232"/>
    <w:rsid w:val="00FA0AAA"/>
    <w:rsid w:val="00FA1C5A"/>
    <w:rsid w:val="00FA52DA"/>
    <w:rsid w:val="00FA54CC"/>
    <w:rsid w:val="00FA79B6"/>
    <w:rsid w:val="00FB020D"/>
    <w:rsid w:val="00FB146A"/>
    <w:rsid w:val="00FB2FA5"/>
    <w:rsid w:val="00FB4801"/>
    <w:rsid w:val="00FC1BC7"/>
    <w:rsid w:val="00FC1CE6"/>
    <w:rsid w:val="00FC4E5F"/>
    <w:rsid w:val="00FC699D"/>
    <w:rsid w:val="00FC7953"/>
    <w:rsid w:val="00FC7B0E"/>
    <w:rsid w:val="00FC7D04"/>
    <w:rsid w:val="00FC7DCA"/>
    <w:rsid w:val="00FD1527"/>
    <w:rsid w:val="00FD1622"/>
    <w:rsid w:val="00FD46E4"/>
    <w:rsid w:val="00FE0028"/>
    <w:rsid w:val="00FE03D8"/>
    <w:rsid w:val="00FE1CA8"/>
    <w:rsid w:val="00FE2744"/>
    <w:rsid w:val="00FE2965"/>
    <w:rsid w:val="00FE2BEA"/>
    <w:rsid w:val="00FE3F26"/>
    <w:rsid w:val="00FE63BC"/>
    <w:rsid w:val="00FE6637"/>
    <w:rsid w:val="00FE77BF"/>
    <w:rsid w:val="00FF2746"/>
    <w:rsid w:val="00FF2E6A"/>
    <w:rsid w:val="00FF36CB"/>
    <w:rsid w:val="00FF42EE"/>
    <w:rsid w:val="00FF5FCC"/>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64B6"/>
  <w15:chartTrackingRefBased/>
  <w15:docId w15:val="{CD781420-C3D0-419E-9B83-CB3F764D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0A"/>
    <w:rPr>
      <w:kern w:val="0"/>
      <w:lang w:val="en-CA"/>
      <w14:ligatures w14:val="none"/>
    </w:rPr>
  </w:style>
  <w:style w:type="paragraph" w:styleId="Heading1">
    <w:name w:val="heading 1"/>
    <w:basedOn w:val="Normal"/>
    <w:next w:val="Normal"/>
    <w:link w:val="Heading1Char"/>
    <w:uiPriority w:val="9"/>
    <w:qFormat/>
    <w:rsid w:val="002C2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2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2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2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E0A"/>
    <w:rPr>
      <w:rFonts w:eastAsiaTheme="majorEastAsia" w:cstheme="majorBidi"/>
      <w:color w:val="272727" w:themeColor="text1" w:themeTint="D8"/>
    </w:rPr>
  </w:style>
  <w:style w:type="paragraph" w:styleId="Title">
    <w:name w:val="Title"/>
    <w:basedOn w:val="Normal"/>
    <w:next w:val="Normal"/>
    <w:link w:val="TitleChar"/>
    <w:uiPriority w:val="10"/>
    <w:qFormat/>
    <w:rsid w:val="002C2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E0A"/>
    <w:pPr>
      <w:spacing w:before="160"/>
      <w:jc w:val="center"/>
    </w:pPr>
    <w:rPr>
      <w:i/>
      <w:iCs/>
      <w:color w:val="404040" w:themeColor="text1" w:themeTint="BF"/>
    </w:rPr>
  </w:style>
  <w:style w:type="character" w:customStyle="1" w:styleId="QuoteChar">
    <w:name w:val="Quote Char"/>
    <w:basedOn w:val="DefaultParagraphFont"/>
    <w:link w:val="Quote"/>
    <w:uiPriority w:val="29"/>
    <w:rsid w:val="002C2E0A"/>
    <w:rPr>
      <w:i/>
      <w:iCs/>
      <w:color w:val="404040" w:themeColor="text1" w:themeTint="BF"/>
    </w:rPr>
  </w:style>
  <w:style w:type="paragraph" w:styleId="ListParagraph">
    <w:name w:val="List Paragraph"/>
    <w:basedOn w:val="Normal"/>
    <w:uiPriority w:val="34"/>
    <w:qFormat/>
    <w:rsid w:val="002C2E0A"/>
    <w:pPr>
      <w:ind w:left="720"/>
      <w:contextualSpacing/>
    </w:pPr>
  </w:style>
  <w:style w:type="character" w:styleId="IntenseEmphasis">
    <w:name w:val="Intense Emphasis"/>
    <w:basedOn w:val="DefaultParagraphFont"/>
    <w:uiPriority w:val="21"/>
    <w:qFormat/>
    <w:rsid w:val="002C2E0A"/>
    <w:rPr>
      <w:i/>
      <w:iCs/>
      <w:color w:val="0F4761" w:themeColor="accent1" w:themeShade="BF"/>
    </w:rPr>
  </w:style>
  <w:style w:type="paragraph" w:styleId="IntenseQuote">
    <w:name w:val="Intense Quote"/>
    <w:basedOn w:val="Normal"/>
    <w:next w:val="Normal"/>
    <w:link w:val="IntenseQuoteChar"/>
    <w:uiPriority w:val="30"/>
    <w:qFormat/>
    <w:rsid w:val="002C2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E0A"/>
    <w:rPr>
      <w:i/>
      <w:iCs/>
      <w:color w:val="0F4761" w:themeColor="accent1" w:themeShade="BF"/>
    </w:rPr>
  </w:style>
  <w:style w:type="character" w:styleId="IntenseReference">
    <w:name w:val="Intense Reference"/>
    <w:basedOn w:val="DefaultParagraphFont"/>
    <w:uiPriority w:val="32"/>
    <w:qFormat/>
    <w:rsid w:val="002C2E0A"/>
    <w:rPr>
      <w:b/>
      <w:bCs/>
      <w:smallCaps/>
      <w:color w:val="0F4761" w:themeColor="accent1" w:themeShade="BF"/>
      <w:spacing w:val="5"/>
    </w:rPr>
  </w:style>
  <w:style w:type="paragraph" w:styleId="FootnoteText">
    <w:name w:val="footnote text"/>
    <w:aliases w:val="ALTS FOOTNOTE,fn"/>
    <w:basedOn w:val="Normal"/>
    <w:link w:val="FootnoteTextChar"/>
    <w:uiPriority w:val="99"/>
    <w:unhideWhenUsed/>
    <w:rsid w:val="002C2E0A"/>
    <w:pPr>
      <w:spacing w:after="0" w:line="240" w:lineRule="auto"/>
    </w:pPr>
    <w:rPr>
      <w:sz w:val="20"/>
      <w:szCs w:val="20"/>
    </w:rPr>
  </w:style>
  <w:style w:type="character" w:customStyle="1" w:styleId="FootnoteTextChar">
    <w:name w:val="Footnote Text Char"/>
    <w:aliases w:val="ALTS FOOTNOTE Char,fn Char"/>
    <w:basedOn w:val="DefaultParagraphFont"/>
    <w:link w:val="FootnoteText"/>
    <w:uiPriority w:val="99"/>
    <w:rsid w:val="002C2E0A"/>
    <w:rPr>
      <w:kern w:val="0"/>
      <w:sz w:val="20"/>
      <w:szCs w:val="20"/>
      <w:lang w:val="en-CA"/>
      <w14:ligatures w14:val="none"/>
    </w:rPr>
  </w:style>
  <w:style w:type="character" w:styleId="FootnoteReference">
    <w:name w:val="footnote reference"/>
    <w:basedOn w:val="DefaultParagraphFont"/>
    <w:semiHidden/>
    <w:unhideWhenUsed/>
    <w:rsid w:val="002C2E0A"/>
    <w:rPr>
      <w:vertAlign w:val="superscript"/>
    </w:rPr>
  </w:style>
  <w:style w:type="character" w:styleId="Hyperlink">
    <w:name w:val="Hyperlink"/>
    <w:basedOn w:val="DefaultParagraphFont"/>
    <w:uiPriority w:val="99"/>
    <w:unhideWhenUsed/>
    <w:rsid w:val="002C2E0A"/>
    <w:rPr>
      <w:color w:val="0000FF"/>
      <w:u w:val="single"/>
    </w:rPr>
  </w:style>
  <w:style w:type="paragraph" w:styleId="Footer">
    <w:name w:val="footer"/>
    <w:basedOn w:val="Normal"/>
    <w:link w:val="FooterChar"/>
    <w:semiHidden/>
    <w:rsid w:val="000F6CD1"/>
    <w:pPr>
      <w:tabs>
        <w:tab w:val="center" w:pos="4320"/>
        <w:tab w:val="right" w:pos="8640"/>
      </w:tabs>
      <w:spacing w:after="0" w:line="240" w:lineRule="auto"/>
    </w:pPr>
    <w:rPr>
      <w:rFonts w:ascii="Times" w:eastAsia="Times" w:hAnsi="Times" w:cs="Times New Roman"/>
      <w:sz w:val="24"/>
      <w:szCs w:val="20"/>
      <w:lang w:val="en-US"/>
    </w:rPr>
  </w:style>
  <w:style w:type="character" w:customStyle="1" w:styleId="FooterChar">
    <w:name w:val="Footer Char"/>
    <w:basedOn w:val="DefaultParagraphFont"/>
    <w:link w:val="Footer"/>
    <w:semiHidden/>
    <w:rsid w:val="000F6CD1"/>
    <w:rPr>
      <w:rFonts w:ascii="Times" w:eastAsia="Times" w:hAnsi="Times" w:cs="Times New Roman"/>
      <w:kern w:val="0"/>
      <w:sz w:val="24"/>
      <w:szCs w:val="20"/>
      <w14:ligatures w14:val="none"/>
    </w:rPr>
  </w:style>
  <w:style w:type="character" w:styleId="UnresolvedMention">
    <w:name w:val="Unresolved Mention"/>
    <w:basedOn w:val="DefaultParagraphFont"/>
    <w:uiPriority w:val="99"/>
    <w:semiHidden/>
    <w:unhideWhenUsed/>
    <w:rsid w:val="00BA5E6C"/>
    <w:rPr>
      <w:color w:val="605E5C"/>
      <w:shd w:val="clear" w:color="auto" w:fill="E1DFDD"/>
    </w:rPr>
  </w:style>
  <w:style w:type="paragraph" w:styleId="Revision">
    <w:name w:val="Revision"/>
    <w:hidden/>
    <w:uiPriority w:val="99"/>
    <w:semiHidden/>
    <w:rsid w:val="00E8235B"/>
    <w:pPr>
      <w:spacing w:after="0" w:line="240" w:lineRule="auto"/>
    </w:pPr>
    <w:rPr>
      <w:kern w:val="0"/>
      <w:lang w:val="en-CA"/>
      <w14:ligatures w14:val="none"/>
    </w:rPr>
  </w:style>
  <w:style w:type="table" w:styleId="TableGrid">
    <w:name w:val="Table Grid"/>
    <w:basedOn w:val="TableNormal"/>
    <w:uiPriority w:val="39"/>
    <w:rsid w:val="00F7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1428"/>
    <w:rPr>
      <w:sz w:val="16"/>
      <w:szCs w:val="16"/>
    </w:rPr>
  </w:style>
  <w:style w:type="paragraph" w:styleId="CommentText">
    <w:name w:val="annotation text"/>
    <w:basedOn w:val="Normal"/>
    <w:link w:val="CommentTextChar"/>
    <w:uiPriority w:val="99"/>
    <w:unhideWhenUsed/>
    <w:rsid w:val="00551428"/>
    <w:pPr>
      <w:spacing w:line="240" w:lineRule="auto"/>
    </w:pPr>
    <w:rPr>
      <w:sz w:val="20"/>
      <w:szCs w:val="20"/>
    </w:rPr>
  </w:style>
  <w:style w:type="character" w:customStyle="1" w:styleId="CommentTextChar">
    <w:name w:val="Comment Text Char"/>
    <w:basedOn w:val="DefaultParagraphFont"/>
    <w:link w:val="CommentText"/>
    <w:uiPriority w:val="99"/>
    <w:rsid w:val="00551428"/>
    <w:rPr>
      <w:kern w:val="0"/>
      <w:sz w:val="20"/>
      <w:szCs w:val="20"/>
      <w:lang w:val="en-CA"/>
      <w14:ligatures w14:val="none"/>
    </w:rPr>
  </w:style>
  <w:style w:type="paragraph" w:styleId="Header">
    <w:name w:val="header"/>
    <w:basedOn w:val="Normal"/>
    <w:link w:val="HeaderChar"/>
    <w:uiPriority w:val="99"/>
    <w:unhideWhenUsed/>
    <w:rsid w:val="00F7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DBB"/>
    <w:rPr>
      <w:kern w:val="0"/>
      <w:lang w:val="en-CA"/>
      <w14:ligatures w14:val="none"/>
    </w:rPr>
  </w:style>
  <w:style w:type="paragraph" w:styleId="CommentSubject">
    <w:name w:val="annotation subject"/>
    <w:basedOn w:val="CommentText"/>
    <w:next w:val="CommentText"/>
    <w:link w:val="CommentSubjectChar"/>
    <w:uiPriority w:val="99"/>
    <w:semiHidden/>
    <w:unhideWhenUsed/>
    <w:rsid w:val="00FB4801"/>
    <w:rPr>
      <w:b/>
      <w:bCs/>
    </w:rPr>
  </w:style>
  <w:style w:type="character" w:customStyle="1" w:styleId="CommentSubjectChar">
    <w:name w:val="Comment Subject Char"/>
    <w:basedOn w:val="CommentTextChar"/>
    <w:link w:val="CommentSubject"/>
    <w:uiPriority w:val="99"/>
    <w:semiHidden/>
    <w:rsid w:val="00FB4801"/>
    <w:rPr>
      <w:b/>
      <w:bCs/>
      <w:kern w:val="0"/>
      <w:sz w:val="20"/>
      <w:szCs w:val="20"/>
      <w:lang w:val="en-CA"/>
      <w14:ligatures w14:val="none"/>
    </w:rPr>
  </w:style>
  <w:style w:type="paragraph" w:styleId="NormalWeb">
    <w:name w:val="Normal (Web)"/>
    <w:basedOn w:val="Normal"/>
    <w:uiPriority w:val="99"/>
    <w:semiHidden/>
    <w:unhideWhenUsed/>
    <w:rsid w:val="0005698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D6F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7665">
      <w:bodyDiv w:val="1"/>
      <w:marLeft w:val="0"/>
      <w:marRight w:val="0"/>
      <w:marTop w:val="0"/>
      <w:marBottom w:val="0"/>
      <w:divBdr>
        <w:top w:val="none" w:sz="0" w:space="0" w:color="auto"/>
        <w:left w:val="none" w:sz="0" w:space="0" w:color="auto"/>
        <w:bottom w:val="none" w:sz="0" w:space="0" w:color="auto"/>
        <w:right w:val="none" w:sz="0" w:space="0" w:color="auto"/>
      </w:divBdr>
      <w:divsChild>
        <w:div w:id="777869190">
          <w:marLeft w:val="0"/>
          <w:marRight w:val="0"/>
          <w:marTop w:val="0"/>
          <w:marBottom w:val="0"/>
          <w:divBdr>
            <w:top w:val="none" w:sz="0" w:space="0" w:color="auto"/>
            <w:left w:val="none" w:sz="0" w:space="0" w:color="auto"/>
            <w:bottom w:val="none" w:sz="0" w:space="0" w:color="auto"/>
            <w:right w:val="none" w:sz="0" w:space="0" w:color="auto"/>
          </w:divBdr>
        </w:div>
        <w:div w:id="1223558408">
          <w:marLeft w:val="0"/>
          <w:marRight w:val="0"/>
          <w:marTop w:val="0"/>
          <w:marBottom w:val="0"/>
          <w:divBdr>
            <w:top w:val="none" w:sz="0" w:space="0" w:color="auto"/>
            <w:left w:val="none" w:sz="0" w:space="0" w:color="auto"/>
            <w:bottom w:val="none" w:sz="0" w:space="0" w:color="auto"/>
            <w:right w:val="none" w:sz="0" w:space="0" w:color="auto"/>
          </w:divBdr>
        </w:div>
      </w:divsChild>
    </w:div>
    <w:div w:id="303396451">
      <w:bodyDiv w:val="1"/>
      <w:marLeft w:val="0"/>
      <w:marRight w:val="0"/>
      <w:marTop w:val="0"/>
      <w:marBottom w:val="0"/>
      <w:divBdr>
        <w:top w:val="none" w:sz="0" w:space="0" w:color="auto"/>
        <w:left w:val="none" w:sz="0" w:space="0" w:color="auto"/>
        <w:bottom w:val="none" w:sz="0" w:space="0" w:color="auto"/>
        <w:right w:val="none" w:sz="0" w:space="0" w:color="auto"/>
      </w:divBdr>
    </w:div>
    <w:div w:id="307631367">
      <w:bodyDiv w:val="1"/>
      <w:marLeft w:val="0"/>
      <w:marRight w:val="0"/>
      <w:marTop w:val="0"/>
      <w:marBottom w:val="0"/>
      <w:divBdr>
        <w:top w:val="none" w:sz="0" w:space="0" w:color="auto"/>
        <w:left w:val="none" w:sz="0" w:space="0" w:color="auto"/>
        <w:bottom w:val="none" w:sz="0" w:space="0" w:color="auto"/>
        <w:right w:val="none" w:sz="0" w:space="0" w:color="auto"/>
      </w:divBdr>
    </w:div>
    <w:div w:id="321005190">
      <w:bodyDiv w:val="1"/>
      <w:marLeft w:val="0"/>
      <w:marRight w:val="0"/>
      <w:marTop w:val="0"/>
      <w:marBottom w:val="0"/>
      <w:divBdr>
        <w:top w:val="none" w:sz="0" w:space="0" w:color="auto"/>
        <w:left w:val="none" w:sz="0" w:space="0" w:color="auto"/>
        <w:bottom w:val="none" w:sz="0" w:space="0" w:color="auto"/>
        <w:right w:val="none" w:sz="0" w:space="0" w:color="auto"/>
      </w:divBdr>
    </w:div>
    <w:div w:id="416943617">
      <w:bodyDiv w:val="1"/>
      <w:marLeft w:val="0"/>
      <w:marRight w:val="0"/>
      <w:marTop w:val="0"/>
      <w:marBottom w:val="0"/>
      <w:divBdr>
        <w:top w:val="none" w:sz="0" w:space="0" w:color="auto"/>
        <w:left w:val="none" w:sz="0" w:space="0" w:color="auto"/>
        <w:bottom w:val="none" w:sz="0" w:space="0" w:color="auto"/>
        <w:right w:val="none" w:sz="0" w:space="0" w:color="auto"/>
      </w:divBdr>
    </w:div>
    <w:div w:id="695541308">
      <w:bodyDiv w:val="1"/>
      <w:marLeft w:val="0"/>
      <w:marRight w:val="0"/>
      <w:marTop w:val="0"/>
      <w:marBottom w:val="0"/>
      <w:divBdr>
        <w:top w:val="none" w:sz="0" w:space="0" w:color="auto"/>
        <w:left w:val="none" w:sz="0" w:space="0" w:color="auto"/>
        <w:bottom w:val="none" w:sz="0" w:space="0" w:color="auto"/>
        <w:right w:val="none" w:sz="0" w:space="0" w:color="auto"/>
      </w:divBdr>
    </w:div>
    <w:div w:id="729155938">
      <w:bodyDiv w:val="1"/>
      <w:marLeft w:val="0"/>
      <w:marRight w:val="0"/>
      <w:marTop w:val="0"/>
      <w:marBottom w:val="0"/>
      <w:divBdr>
        <w:top w:val="none" w:sz="0" w:space="0" w:color="auto"/>
        <w:left w:val="none" w:sz="0" w:space="0" w:color="auto"/>
        <w:bottom w:val="none" w:sz="0" w:space="0" w:color="auto"/>
        <w:right w:val="none" w:sz="0" w:space="0" w:color="auto"/>
      </w:divBdr>
    </w:div>
    <w:div w:id="778992332">
      <w:bodyDiv w:val="1"/>
      <w:marLeft w:val="0"/>
      <w:marRight w:val="0"/>
      <w:marTop w:val="0"/>
      <w:marBottom w:val="0"/>
      <w:divBdr>
        <w:top w:val="none" w:sz="0" w:space="0" w:color="auto"/>
        <w:left w:val="none" w:sz="0" w:space="0" w:color="auto"/>
        <w:bottom w:val="none" w:sz="0" w:space="0" w:color="auto"/>
        <w:right w:val="none" w:sz="0" w:space="0" w:color="auto"/>
      </w:divBdr>
      <w:divsChild>
        <w:div w:id="289631754">
          <w:marLeft w:val="0"/>
          <w:marRight w:val="0"/>
          <w:marTop w:val="0"/>
          <w:marBottom w:val="0"/>
          <w:divBdr>
            <w:top w:val="none" w:sz="0" w:space="0" w:color="auto"/>
            <w:left w:val="none" w:sz="0" w:space="0" w:color="auto"/>
            <w:bottom w:val="none" w:sz="0" w:space="0" w:color="auto"/>
            <w:right w:val="none" w:sz="0" w:space="0" w:color="auto"/>
          </w:divBdr>
        </w:div>
        <w:div w:id="1144389810">
          <w:marLeft w:val="0"/>
          <w:marRight w:val="0"/>
          <w:marTop w:val="0"/>
          <w:marBottom w:val="0"/>
          <w:divBdr>
            <w:top w:val="none" w:sz="0" w:space="0" w:color="auto"/>
            <w:left w:val="none" w:sz="0" w:space="0" w:color="auto"/>
            <w:bottom w:val="none" w:sz="0" w:space="0" w:color="auto"/>
            <w:right w:val="none" w:sz="0" w:space="0" w:color="auto"/>
          </w:divBdr>
        </w:div>
      </w:divsChild>
    </w:div>
    <w:div w:id="800030700">
      <w:bodyDiv w:val="1"/>
      <w:marLeft w:val="0"/>
      <w:marRight w:val="0"/>
      <w:marTop w:val="0"/>
      <w:marBottom w:val="0"/>
      <w:divBdr>
        <w:top w:val="none" w:sz="0" w:space="0" w:color="auto"/>
        <w:left w:val="none" w:sz="0" w:space="0" w:color="auto"/>
        <w:bottom w:val="none" w:sz="0" w:space="0" w:color="auto"/>
        <w:right w:val="none" w:sz="0" w:space="0" w:color="auto"/>
      </w:divBdr>
    </w:div>
    <w:div w:id="841891331">
      <w:bodyDiv w:val="1"/>
      <w:marLeft w:val="0"/>
      <w:marRight w:val="0"/>
      <w:marTop w:val="0"/>
      <w:marBottom w:val="0"/>
      <w:divBdr>
        <w:top w:val="none" w:sz="0" w:space="0" w:color="auto"/>
        <w:left w:val="none" w:sz="0" w:space="0" w:color="auto"/>
        <w:bottom w:val="none" w:sz="0" w:space="0" w:color="auto"/>
        <w:right w:val="none" w:sz="0" w:space="0" w:color="auto"/>
      </w:divBdr>
    </w:div>
    <w:div w:id="879904053">
      <w:bodyDiv w:val="1"/>
      <w:marLeft w:val="0"/>
      <w:marRight w:val="0"/>
      <w:marTop w:val="0"/>
      <w:marBottom w:val="0"/>
      <w:divBdr>
        <w:top w:val="none" w:sz="0" w:space="0" w:color="auto"/>
        <w:left w:val="none" w:sz="0" w:space="0" w:color="auto"/>
        <w:bottom w:val="none" w:sz="0" w:space="0" w:color="auto"/>
        <w:right w:val="none" w:sz="0" w:space="0" w:color="auto"/>
      </w:divBdr>
    </w:div>
    <w:div w:id="893740475">
      <w:bodyDiv w:val="1"/>
      <w:marLeft w:val="0"/>
      <w:marRight w:val="0"/>
      <w:marTop w:val="0"/>
      <w:marBottom w:val="0"/>
      <w:divBdr>
        <w:top w:val="none" w:sz="0" w:space="0" w:color="auto"/>
        <w:left w:val="none" w:sz="0" w:space="0" w:color="auto"/>
        <w:bottom w:val="none" w:sz="0" w:space="0" w:color="auto"/>
        <w:right w:val="none" w:sz="0" w:space="0" w:color="auto"/>
      </w:divBdr>
    </w:div>
    <w:div w:id="961151662">
      <w:bodyDiv w:val="1"/>
      <w:marLeft w:val="0"/>
      <w:marRight w:val="0"/>
      <w:marTop w:val="0"/>
      <w:marBottom w:val="0"/>
      <w:divBdr>
        <w:top w:val="none" w:sz="0" w:space="0" w:color="auto"/>
        <w:left w:val="none" w:sz="0" w:space="0" w:color="auto"/>
        <w:bottom w:val="none" w:sz="0" w:space="0" w:color="auto"/>
        <w:right w:val="none" w:sz="0" w:space="0" w:color="auto"/>
      </w:divBdr>
    </w:div>
    <w:div w:id="989288148">
      <w:bodyDiv w:val="1"/>
      <w:marLeft w:val="0"/>
      <w:marRight w:val="0"/>
      <w:marTop w:val="0"/>
      <w:marBottom w:val="0"/>
      <w:divBdr>
        <w:top w:val="none" w:sz="0" w:space="0" w:color="auto"/>
        <w:left w:val="none" w:sz="0" w:space="0" w:color="auto"/>
        <w:bottom w:val="none" w:sz="0" w:space="0" w:color="auto"/>
        <w:right w:val="none" w:sz="0" w:space="0" w:color="auto"/>
      </w:divBdr>
    </w:div>
    <w:div w:id="1018196396">
      <w:bodyDiv w:val="1"/>
      <w:marLeft w:val="0"/>
      <w:marRight w:val="0"/>
      <w:marTop w:val="0"/>
      <w:marBottom w:val="0"/>
      <w:divBdr>
        <w:top w:val="none" w:sz="0" w:space="0" w:color="auto"/>
        <w:left w:val="none" w:sz="0" w:space="0" w:color="auto"/>
        <w:bottom w:val="none" w:sz="0" w:space="0" w:color="auto"/>
        <w:right w:val="none" w:sz="0" w:space="0" w:color="auto"/>
      </w:divBdr>
    </w:div>
    <w:div w:id="1031344095">
      <w:bodyDiv w:val="1"/>
      <w:marLeft w:val="0"/>
      <w:marRight w:val="0"/>
      <w:marTop w:val="0"/>
      <w:marBottom w:val="0"/>
      <w:divBdr>
        <w:top w:val="none" w:sz="0" w:space="0" w:color="auto"/>
        <w:left w:val="none" w:sz="0" w:space="0" w:color="auto"/>
        <w:bottom w:val="none" w:sz="0" w:space="0" w:color="auto"/>
        <w:right w:val="none" w:sz="0" w:space="0" w:color="auto"/>
      </w:divBdr>
    </w:div>
    <w:div w:id="1035160909">
      <w:bodyDiv w:val="1"/>
      <w:marLeft w:val="0"/>
      <w:marRight w:val="0"/>
      <w:marTop w:val="0"/>
      <w:marBottom w:val="0"/>
      <w:divBdr>
        <w:top w:val="none" w:sz="0" w:space="0" w:color="auto"/>
        <w:left w:val="none" w:sz="0" w:space="0" w:color="auto"/>
        <w:bottom w:val="none" w:sz="0" w:space="0" w:color="auto"/>
        <w:right w:val="none" w:sz="0" w:space="0" w:color="auto"/>
      </w:divBdr>
    </w:div>
    <w:div w:id="1076590921">
      <w:bodyDiv w:val="1"/>
      <w:marLeft w:val="0"/>
      <w:marRight w:val="0"/>
      <w:marTop w:val="0"/>
      <w:marBottom w:val="0"/>
      <w:divBdr>
        <w:top w:val="none" w:sz="0" w:space="0" w:color="auto"/>
        <w:left w:val="none" w:sz="0" w:space="0" w:color="auto"/>
        <w:bottom w:val="none" w:sz="0" w:space="0" w:color="auto"/>
        <w:right w:val="none" w:sz="0" w:space="0" w:color="auto"/>
      </w:divBdr>
    </w:div>
    <w:div w:id="1167480890">
      <w:bodyDiv w:val="1"/>
      <w:marLeft w:val="0"/>
      <w:marRight w:val="0"/>
      <w:marTop w:val="0"/>
      <w:marBottom w:val="0"/>
      <w:divBdr>
        <w:top w:val="none" w:sz="0" w:space="0" w:color="auto"/>
        <w:left w:val="none" w:sz="0" w:space="0" w:color="auto"/>
        <w:bottom w:val="none" w:sz="0" w:space="0" w:color="auto"/>
        <w:right w:val="none" w:sz="0" w:space="0" w:color="auto"/>
      </w:divBdr>
    </w:div>
    <w:div w:id="1197162806">
      <w:bodyDiv w:val="1"/>
      <w:marLeft w:val="0"/>
      <w:marRight w:val="0"/>
      <w:marTop w:val="0"/>
      <w:marBottom w:val="0"/>
      <w:divBdr>
        <w:top w:val="none" w:sz="0" w:space="0" w:color="auto"/>
        <w:left w:val="none" w:sz="0" w:space="0" w:color="auto"/>
        <w:bottom w:val="none" w:sz="0" w:space="0" w:color="auto"/>
        <w:right w:val="none" w:sz="0" w:space="0" w:color="auto"/>
      </w:divBdr>
    </w:div>
    <w:div w:id="1241674957">
      <w:bodyDiv w:val="1"/>
      <w:marLeft w:val="0"/>
      <w:marRight w:val="0"/>
      <w:marTop w:val="0"/>
      <w:marBottom w:val="0"/>
      <w:divBdr>
        <w:top w:val="none" w:sz="0" w:space="0" w:color="auto"/>
        <w:left w:val="none" w:sz="0" w:space="0" w:color="auto"/>
        <w:bottom w:val="none" w:sz="0" w:space="0" w:color="auto"/>
        <w:right w:val="none" w:sz="0" w:space="0" w:color="auto"/>
      </w:divBdr>
    </w:div>
    <w:div w:id="1385252655">
      <w:bodyDiv w:val="1"/>
      <w:marLeft w:val="0"/>
      <w:marRight w:val="0"/>
      <w:marTop w:val="0"/>
      <w:marBottom w:val="0"/>
      <w:divBdr>
        <w:top w:val="none" w:sz="0" w:space="0" w:color="auto"/>
        <w:left w:val="none" w:sz="0" w:space="0" w:color="auto"/>
        <w:bottom w:val="none" w:sz="0" w:space="0" w:color="auto"/>
        <w:right w:val="none" w:sz="0" w:space="0" w:color="auto"/>
      </w:divBdr>
    </w:div>
    <w:div w:id="1429429251">
      <w:bodyDiv w:val="1"/>
      <w:marLeft w:val="0"/>
      <w:marRight w:val="0"/>
      <w:marTop w:val="0"/>
      <w:marBottom w:val="0"/>
      <w:divBdr>
        <w:top w:val="none" w:sz="0" w:space="0" w:color="auto"/>
        <w:left w:val="none" w:sz="0" w:space="0" w:color="auto"/>
        <w:bottom w:val="none" w:sz="0" w:space="0" w:color="auto"/>
        <w:right w:val="none" w:sz="0" w:space="0" w:color="auto"/>
      </w:divBdr>
    </w:div>
    <w:div w:id="1474055226">
      <w:bodyDiv w:val="1"/>
      <w:marLeft w:val="0"/>
      <w:marRight w:val="0"/>
      <w:marTop w:val="0"/>
      <w:marBottom w:val="0"/>
      <w:divBdr>
        <w:top w:val="none" w:sz="0" w:space="0" w:color="auto"/>
        <w:left w:val="none" w:sz="0" w:space="0" w:color="auto"/>
        <w:bottom w:val="none" w:sz="0" w:space="0" w:color="auto"/>
        <w:right w:val="none" w:sz="0" w:space="0" w:color="auto"/>
      </w:divBdr>
    </w:div>
    <w:div w:id="1474637952">
      <w:bodyDiv w:val="1"/>
      <w:marLeft w:val="0"/>
      <w:marRight w:val="0"/>
      <w:marTop w:val="0"/>
      <w:marBottom w:val="0"/>
      <w:divBdr>
        <w:top w:val="none" w:sz="0" w:space="0" w:color="auto"/>
        <w:left w:val="none" w:sz="0" w:space="0" w:color="auto"/>
        <w:bottom w:val="none" w:sz="0" w:space="0" w:color="auto"/>
        <w:right w:val="none" w:sz="0" w:space="0" w:color="auto"/>
      </w:divBdr>
    </w:div>
    <w:div w:id="1512530931">
      <w:bodyDiv w:val="1"/>
      <w:marLeft w:val="0"/>
      <w:marRight w:val="0"/>
      <w:marTop w:val="0"/>
      <w:marBottom w:val="0"/>
      <w:divBdr>
        <w:top w:val="none" w:sz="0" w:space="0" w:color="auto"/>
        <w:left w:val="none" w:sz="0" w:space="0" w:color="auto"/>
        <w:bottom w:val="none" w:sz="0" w:space="0" w:color="auto"/>
        <w:right w:val="none" w:sz="0" w:space="0" w:color="auto"/>
      </w:divBdr>
    </w:div>
    <w:div w:id="1541866655">
      <w:bodyDiv w:val="1"/>
      <w:marLeft w:val="0"/>
      <w:marRight w:val="0"/>
      <w:marTop w:val="0"/>
      <w:marBottom w:val="0"/>
      <w:divBdr>
        <w:top w:val="none" w:sz="0" w:space="0" w:color="auto"/>
        <w:left w:val="none" w:sz="0" w:space="0" w:color="auto"/>
        <w:bottom w:val="none" w:sz="0" w:space="0" w:color="auto"/>
        <w:right w:val="none" w:sz="0" w:space="0" w:color="auto"/>
      </w:divBdr>
    </w:div>
    <w:div w:id="1559320792">
      <w:bodyDiv w:val="1"/>
      <w:marLeft w:val="0"/>
      <w:marRight w:val="0"/>
      <w:marTop w:val="0"/>
      <w:marBottom w:val="0"/>
      <w:divBdr>
        <w:top w:val="none" w:sz="0" w:space="0" w:color="auto"/>
        <w:left w:val="none" w:sz="0" w:space="0" w:color="auto"/>
        <w:bottom w:val="none" w:sz="0" w:space="0" w:color="auto"/>
        <w:right w:val="none" w:sz="0" w:space="0" w:color="auto"/>
      </w:divBdr>
    </w:div>
    <w:div w:id="1746879683">
      <w:bodyDiv w:val="1"/>
      <w:marLeft w:val="0"/>
      <w:marRight w:val="0"/>
      <w:marTop w:val="0"/>
      <w:marBottom w:val="0"/>
      <w:divBdr>
        <w:top w:val="none" w:sz="0" w:space="0" w:color="auto"/>
        <w:left w:val="none" w:sz="0" w:space="0" w:color="auto"/>
        <w:bottom w:val="none" w:sz="0" w:space="0" w:color="auto"/>
        <w:right w:val="none" w:sz="0" w:space="0" w:color="auto"/>
      </w:divBdr>
    </w:div>
    <w:div w:id="1797871025">
      <w:bodyDiv w:val="1"/>
      <w:marLeft w:val="0"/>
      <w:marRight w:val="0"/>
      <w:marTop w:val="0"/>
      <w:marBottom w:val="0"/>
      <w:divBdr>
        <w:top w:val="none" w:sz="0" w:space="0" w:color="auto"/>
        <w:left w:val="none" w:sz="0" w:space="0" w:color="auto"/>
        <w:bottom w:val="none" w:sz="0" w:space="0" w:color="auto"/>
        <w:right w:val="none" w:sz="0" w:space="0" w:color="auto"/>
      </w:divBdr>
    </w:div>
    <w:div w:id="1908301747">
      <w:bodyDiv w:val="1"/>
      <w:marLeft w:val="0"/>
      <w:marRight w:val="0"/>
      <w:marTop w:val="0"/>
      <w:marBottom w:val="0"/>
      <w:divBdr>
        <w:top w:val="none" w:sz="0" w:space="0" w:color="auto"/>
        <w:left w:val="none" w:sz="0" w:space="0" w:color="auto"/>
        <w:bottom w:val="none" w:sz="0" w:space="0" w:color="auto"/>
        <w:right w:val="none" w:sz="0" w:space="0" w:color="auto"/>
      </w:divBdr>
    </w:div>
    <w:div w:id="2090734139">
      <w:bodyDiv w:val="1"/>
      <w:marLeft w:val="0"/>
      <w:marRight w:val="0"/>
      <w:marTop w:val="0"/>
      <w:marBottom w:val="0"/>
      <w:divBdr>
        <w:top w:val="none" w:sz="0" w:space="0" w:color="auto"/>
        <w:left w:val="none" w:sz="0" w:space="0" w:color="auto"/>
        <w:bottom w:val="none" w:sz="0" w:space="0" w:color="auto"/>
        <w:right w:val="none" w:sz="0" w:space="0" w:color="auto"/>
      </w:divBdr>
      <w:divsChild>
        <w:div w:id="120320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y-CSCN@cna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tc.gc.ca/public/cisc/cn/CNRE138B.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tc.gc.ca/public/cisc/cn/CNRE138B.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range-business.com/en/numbering-iot-sim-move-15-digits" TargetMode="External"/><Relationship Id="rId1" Type="http://schemas.openxmlformats.org/officeDocument/2006/relationships/hyperlink" Target="https://www.orange-business.com/en/numbering-iot-sim-move-15-dig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9C370-F4FA-4D90-A7EC-7F057371A93B}">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1B87C3B3-BC67-4AC2-817D-79A6E075A78B}">
  <ds:schemaRefs>
    <ds:schemaRef ds:uri="http://schemas.microsoft.com/sharepoint/v3/contenttype/forms"/>
  </ds:schemaRefs>
</ds:datastoreItem>
</file>

<file path=customXml/itemProps3.xml><?xml version="1.0" encoding="utf-8"?>
<ds:datastoreItem xmlns:ds="http://schemas.openxmlformats.org/officeDocument/2006/customXml" ds:itemID="{5EA304D1-27BD-40AB-9439-B6339F13DDAC}">
  <ds:schemaRefs>
    <ds:schemaRef ds:uri="http://schemas.openxmlformats.org/officeDocument/2006/bibliography"/>
  </ds:schemaRefs>
</ds:datastoreItem>
</file>

<file path=customXml/itemProps4.xml><?xml version="1.0" encoding="utf-8"?>
<ds:datastoreItem xmlns:ds="http://schemas.openxmlformats.org/officeDocument/2006/customXml" ds:itemID="{ADA6D8EA-A37F-434B-9816-E9743E03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cp:revision>
  <cp:lastPrinted>2025-04-28T15:48:00Z</cp:lastPrinted>
  <dcterms:created xsi:type="dcterms:W3CDTF">2025-06-12T12:24:00Z</dcterms:created>
  <dcterms:modified xsi:type="dcterms:W3CDTF">2025-06-12T12:26:00Z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