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69509366"/>
        <w:docPartObj>
          <w:docPartGallery w:val="Cover Pages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p w14:paraId="17DFDFB6" w14:textId="013B82F6" w:rsidR="004353D8" w:rsidRDefault="004353D8"/>
        <w:p w14:paraId="257B7964" w14:textId="77777777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CRTC INTERCONNECTION STEERING COMMITTEE</w:t>
          </w:r>
        </w:p>
        <w:p w14:paraId="0CECC63A" w14:textId="77777777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u w:val="single"/>
              <w:lang w:val="en-US"/>
            </w:rPr>
            <w:t>CONTRIBUTION FORM:</w:t>
          </w:r>
        </w:p>
        <w:p w14:paraId="727D4AD3" w14:textId="4CA679DB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Working Group:          </w:t>
          </w:r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CSCN</w:t>
          </w: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                                     Date of Submission</w:t>
          </w:r>
          <w:proofErr w:type="gramStart"/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:</w:t>
          </w:r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 2025</w:t>
          </w:r>
          <w:proofErr w:type="gramEnd"/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-11-03</w:t>
          </w:r>
        </w:p>
        <w:p w14:paraId="4BAC83DA" w14:textId="39AD57E3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proofErr w:type="gramStart"/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Contribution #:</w:t>
          </w:r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308A</w:t>
          </w:r>
        </w:p>
        <w:p w14:paraId="344B1E22" w14:textId="6A272108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TIF #:   </w:t>
          </w:r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118</w:t>
          </w:r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ab/>
          </w: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                                                    File ID</w:t>
          </w:r>
          <w:proofErr w:type="gramStart"/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:</w:t>
          </w:r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 CNCO308A</w:t>
          </w:r>
          <w:proofErr w:type="gramEnd"/>
        </w:p>
        <w:p w14:paraId="40CFD352" w14:textId="15850AAC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Task Title</w:t>
          </w:r>
          <w:proofErr w:type="gramStart"/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:</w:t>
          </w:r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 </w:t>
          </w:r>
          <w:r w:rsidR="002A60D8" w:rsidRPr="002A60D8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Update</w:t>
          </w:r>
          <w:proofErr w:type="gramEnd"/>
          <w:r w:rsidR="002A60D8" w:rsidRPr="002A60D8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CSCN-Administered Guidelines for Thousands-Block Pooling</w:t>
          </w:r>
        </w:p>
        <w:p w14:paraId="7FEAC9E0" w14:textId="26AF0462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Related to Task(s) ID:</w:t>
          </w:r>
        </w:p>
        <w:p w14:paraId="6D4F9573" w14:textId="77777777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Contributor:</w:t>
          </w:r>
        </w:p>
        <w:p w14:paraId="21255F61" w14:textId="2260CE3C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            Name</w:t>
          </w:r>
          <w:proofErr w:type="gramStart"/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:</w:t>
          </w:r>
          <w:r w:rsidR="002A60D8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ab/>
          </w:r>
          <w:r w:rsidR="002A60D8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ab/>
            <w:t>Ed</w:t>
          </w:r>
          <w:proofErr w:type="gramEnd"/>
          <w:r w:rsidR="002A60D8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</w:t>
          </w:r>
          <w:proofErr w:type="spellStart"/>
          <w:r w:rsidR="002A60D8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Antecol</w:t>
          </w:r>
          <w:proofErr w:type="spellEnd"/>
        </w:p>
        <w:p w14:paraId="31C8D6CB" w14:textId="6B875C47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            Company:</w:t>
          </w:r>
          <w:r w:rsidR="002A60D8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ab/>
          </w:r>
          <w:proofErr w:type="spellStart"/>
          <w:r w:rsidR="002A60D8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COMsolve</w:t>
          </w:r>
          <w:proofErr w:type="spellEnd"/>
          <w:r w:rsidR="002A60D8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Inc.</w:t>
          </w:r>
        </w:p>
        <w:p w14:paraId="00E4F953" w14:textId="77777777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            Address:</w:t>
          </w:r>
        </w:p>
        <w:p w14:paraId="6B3D94E1" w14:textId="77777777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            Tel:</w:t>
          </w:r>
        </w:p>
        <w:p w14:paraId="348570A1" w14:textId="77777777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            Fax:</w:t>
          </w:r>
        </w:p>
        <w:p w14:paraId="7E3E9D49" w14:textId="77777777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            E-mail:</w:t>
          </w:r>
        </w:p>
        <w:p w14:paraId="432500B1" w14:textId="55AB282F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Distribution to</w:t>
          </w:r>
          <w:proofErr w:type="gramStart"/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:</w:t>
          </w:r>
          <w:r w:rsidR="002A60D8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 CSCN</w:t>
          </w:r>
          <w:proofErr w:type="gramEnd"/>
        </w:p>
        <w:p w14:paraId="7D9853D9" w14:textId="442D00D9" w:rsidR="003A68BA" w:rsidRPr="003A68BA" w:rsidRDefault="003A68BA" w:rsidP="003A68B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Subject</w:t>
          </w:r>
          <w:proofErr w:type="gramStart"/>
          <w:r w:rsidRPr="003A68BA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:</w:t>
          </w:r>
          <w:r w:rsidR="002A60D8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 </w:t>
          </w:r>
          <w:r w:rsidR="00F806D6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Discussion</w:t>
          </w:r>
          <w:proofErr w:type="gramEnd"/>
          <w:r w:rsidR="00F806D6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of Section 4.2.3 of the draft TBCOCAG</w:t>
          </w:r>
        </w:p>
        <w:p w14:paraId="58DCC5ED" w14:textId="18907259" w:rsidR="004353D8" w:rsidRDefault="004353D8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br w:type="page"/>
          </w:r>
        </w:p>
      </w:sdtContent>
    </w:sdt>
    <w:p w14:paraId="70BB72BB" w14:textId="72419422" w:rsidR="00A42334" w:rsidRPr="00A826B0" w:rsidRDefault="00A42334" w:rsidP="000705A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826B0">
        <w:rPr>
          <w:rFonts w:ascii="Arial" w:hAnsi="Arial" w:cs="Arial"/>
          <w:sz w:val="22"/>
          <w:szCs w:val="22"/>
        </w:rPr>
        <w:t>4.2.3. For an Additional CO Code for a Pool Replenishment (which includes at least one Thousands-Block), the Code Applicant must certify in section 1.6 of the Part 1A Form (Pooled CO Code/Thousands-Block Assignment, Information Change, or Disconnect) that:</w:t>
      </w:r>
    </w:p>
    <w:p w14:paraId="622D59CE" w14:textId="77777777" w:rsidR="00A42334" w:rsidRPr="00A826B0" w:rsidRDefault="00A42334" w:rsidP="000705A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0DB2701" w14:textId="77777777" w:rsidR="00A42334" w:rsidRPr="00A826B0" w:rsidRDefault="00A42334" w:rsidP="000705AB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826B0">
        <w:rPr>
          <w:rFonts w:ascii="Arial" w:hAnsi="Arial" w:cs="Arial"/>
          <w:sz w:val="22"/>
          <w:szCs w:val="22"/>
        </w:rPr>
        <w:t xml:space="preserve">· </w:t>
      </w:r>
      <w:proofErr w:type="gramStart"/>
      <w:r w:rsidRPr="00A826B0">
        <w:rPr>
          <w:rFonts w:ascii="Arial" w:hAnsi="Arial" w:cs="Arial"/>
          <w:sz w:val="22"/>
          <w:szCs w:val="22"/>
        </w:rPr>
        <w:t>existing</w:t>
      </w:r>
      <w:proofErr w:type="gramEnd"/>
      <w:r w:rsidRPr="00A826B0">
        <w:rPr>
          <w:rFonts w:ascii="Arial" w:hAnsi="Arial" w:cs="Arial"/>
          <w:sz w:val="22"/>
          <w:szCs w:val="22"/>
        </w:rPr>
        <w:t xml:space="preserve"> Telephone Numbers (TNs) reported as available for assignment include either all TNs assigned to a single Switching Entity/POI of the Exchange Area or all TNs assigned in the Exchange Area across multiple Switching Entities/POIs; and</w:t>
      </w:r>
    </w:p>
    <w:p w14:paraId="72740BCE" w14:textId="77777777" w:rsidR="00A42334" w:rsidRPr="00A826B0" w:rsidRDefault="00A42334" w:rsidP="000705AB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8F5D1C0" w14:textId="77777777" w:rsidR="00A42334" w:rsidRPr="00A826B0" w:rsidRDefault="00A42334" w:rsidP="000705AB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826B0">
        <w:rPr>
          <w:rFonts w:ascii="Arial" w:hAnsi="Arial" w:cs="Arial"/>
          <w:sz w:val="22"/>
          <w:szCs w:val="22"/>
        </w:rPr>
        <w:t xml:space="preserve">· </w:t>
      </w:r>
      <w:proofErr w:type="gramStart"/>
      <w:r w:rsidRPr="00A826B0">
        <w:rPr>
          <w:rFonts w:ascii="Arial" w:hAnsi="Arial" w:cs="Arial"/>
          <w:sz w:val="22"/>
          <w:szCs w:val="22"/>
        </w:rPr>
        <w:t>these</w:t>
      </w:r>
      <w:proofErr w:type="gramEnd"/>
      <w:r w:rsidRPr="00A826B0">
        <w:rPr>
          <w:rFonts w:ascii="Arial" w:hAnsi="Arial" w:cs="Arial"/>
          <w:sz w:val="22"/>
          <w:szCs w:val="22"/>
        </w:rPr>
        <w:t xml:space="preserve"> TNs are projected to exhaust within 12 months.</w:t>
      </w:r>
    </w:p>
    <w:p w14:paraId="397C9821" w14:textId="77777777" w:rsidR="00A42334" w:rsidRPr="00A826B0" w:rsidRDefault="00A42334" w:rsidP="000705AB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54548E9" w14:textId="1FE5996C" w:rsidR="00A42334" w:rsidRPr="00A826B0" w:rsidRDefault="00A42334" w:rsidP="000705A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826B0">
        <w:rPr>
          <w:rFonts w:ascii="Arial" w:hAnsi="Arial" w:cs="Arial"/>
          <w:sz w:val="22"/>
          <w:szCs w:val="22"/>
        </w:rPr>
        <w:t>This shall be documented with supporting data in the Appendix B Months to Exhaust Certification Worksheet.</w:t>
      </w:r>
    </w:p>
    <w:p w14:paraId="78DA63B2" w14:textId="77777777" w:rsidR="00A42334" w:rsidRDefault="00A42334" w:rsidP="000705A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9A2DE92" w14:textId="77777777" w:rsidR="00A826B0" w:rsidRDefault="00A826B0" w:rsidP="000705A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826B0">
        <w:rPr>
          <w:rFonts w:ascii="Arial" w:hAnsi="Arial" w:cs="Arial"/>
          <w:color w:val="EE0000"/>
          <w:sz w:val="22"/>
          <w:szCs w:val="22"/>
        </w:rPr>
        <w:t>Proposed Additional Language</w:t>
      </w:r>
    </w:p>
    <w:p w14:paraId="1C76F31B" w14:textId="41A45D7A" w:rsidR="00A826B0" w:rsidRPr="00A826B0" w:rsidRDefault="00A826B0" w:rsidP="000705A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8A86238" w14:textId="5E7F152B" w:rsidR="00A42334" w:rsidRPr="00A826B0" w:rsidRDefault="00A826B0" w:rsidP="000705AB">
      <w:pPr>
        <w:spacing w:after="0" w:line="240" w:lineRule="auto"/>
        <w:ind w:left="720"/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“</w:t>
      </w:r>
      <w:r w:rsidR="00A42334" w:rsidRPr="00A826B0">
        <w:rPr>
          <w:rFonts w:ascii="Arial" w:hAnsi="Arial" w:cs="Arial"/>
          <w:color w:val="EE0000"/>
          <w:sz w:val="22"/>
          <w:szCs w:val="22"/>
        </w:rPr>
        <w:t xml:space="preserve">An application for a CO Code for Pool Replenishment shall only be permitted where the requested number of Blocks is greater than the number of available Blocks in the Exchange Area Pool.  </w:t>
      </w:r>
      <w:proofErr w:type="gramStart"/>
      <w:r w:rsidR="00A445FD" w:rsidRPr="00A826B0">
        <w:rPr>
          <w:rFonts w:ascii="Arial" w:hAnsi="Arial" w:cs="Arial"/>
          <w:color w:val="EE0000"/>
          <w:sz w:val="22"/>
          <w:szCs w:val="22"/>
        </w:rPr>
        <w:t>For the purpose of</w:t>
      </w:r>
      <w:proofErr w:type="gramEnd"/>
      <w:r w:rsidR="00A445FD" w:rsidRPr="00A826B0">
        <w:rPr>
          <w:rFonts w:ascii="Arial" w:hAnsi="Arial" w:cs="Arial"/>
          <w:color w:val="EE0000"/>
          <w:sz w:val="22"/>
          <w:szCs w:val="22"/>
        </w:rPr>
        <w:t xml:space="preserve"> this rule, </w:t>
      </w:r>
      <w:r w:rsidR="00A42334" w:rsidRPr="00A826B0">
        <w:rPr>
          <w:rFonts w:ascii="Arial" w:hAnsi="Arial" w:cs="Arial"/>
          <w:color w:val="EE0000"/>
          <w:sz w:val="22"/>
          <w:szCs w:val="22"/>
        </w:rPr>
        <w:t xml:space="preserve">Blocks </w:t>
      </w:r>
      <w:r w:rsidR="00A445FD" w:rsidRPr="00A826B0">
        <w:rPr>
          <w:rFonts w:ascii="Arial" w:hAnsi="Arial" w:cs="Arial"/>
          <w:color w:val="EE0000"/>
          <w:sz w:val="22"/>
          <w:szCs w:val="22"/>
        </w:rPr>
        <w:t xml:space="preserve">with </w:t>
      </w:r>
      <w:proofErr w:type="gramStart"/>
      <w:r w:rsidR="00A445FD" w:rsidRPr="00A826B0">
        <w:rPr>
          <w:rFonts w:ascii="Arial" w:hAnsi="Arial" w:cs="Arial"/>
          <w:color w:val="EE0000"/>
          <w:sz w:val="22"/>
          <w:szCs w:val="22"/>
        </w:rPr>
        <w:t xml:space="preserve">Contamination </w:t>
      </w:r>
      <w:r w:rsidR="00A42334" w:rsidRPr="00A826B0">
        <w:rPr>
          <w:rFonts w:ascii="Arial" w:hAnsi="Arial" w:cs="Arial"/>
          <w:color w:val="EE0000"/>
          <w:sz w:val="22"/>
          <w:szCs w:val="22"/>
        </w:rPr>
        <w:t xml:space="preserve"> and</w:t>
      </w:r>
      <w:proofErr w:type="gramEnd"/>
      <w:r w:rsidR="00A42334" w:rsidRPr="00A826B0">
        <w:rPr>
          <w:rFonts w:ascii="Arial" w:hAnsi="Arial" w:cs="Arial"/>
          <w:color w:val="EE0000"/>
          <w:sz w:val="22"/>
          <w:szCs w:val="22"/>
        </w:rPr>
        <w:t xml:space="preserve"> Blocks with a future availability date (i.e.,</w:t>
      </w:r>
      <w:r w:rsidR="00A445FD" w:rsidRPr="00A826B0">
        <w:rPr>
          <w:rFonts w:ascii="Arial" w:hAnsi="Arial" w:cs="Arial"/>
          <w:color w:val="EE0000"/>
          <w:sz w:val="22"/>
          <w:szCs w:val="22"/>
        </w:rPr>
        <w:t xml:space="preserve"> Blocks</w:t>
      </w:r>
      <w:r w:rsidR="00A42334" w:rsidRPr="00A826B0">
        <w:rPr>
          <w:rFonts w:ascii="Arial" w:hAnsi="Arial" w:cs="Arial"/>
          <w:color w:val="EE0000"/>
          <w:sz w:val="22"/>
          <w:szCs w:val="22"/>
        </w:rPr>
        <w:t xml:space="preserve"> available after the CO Code Effective Date</w:t>
      </w:r>
      <w:r w:rsidR="00A445FD" w:rsidRPr="00A826B0">
        <w:rPr>
          <w:rFonts w:ascii="Arial" w:hAnsi="Arial" w:cs="Arial"/>
          <w:color w:val="EE0000"/>
          <w:sz w:val="22"/>
          <w:szCs w:val="22"/>
        </w:rPr>
        <w:t>) shall be considered available blocks.  Blocks that are awaiting PSTN Activation shall not be considered available Blocks.</w:t>
      </w:r>
      <w:r>
        <w:rPr>
          <w:rFonts w:ascii="Arial" w:hAnsi="Arial" w:cs="Arial"/>
          <w:color w:val="EE0000"/>
          <w:sz w:val="22"/>
          <w:szCs w:val="22"/>
        </w:rPr>
        <w:t>”</w:t>
      </w:r>
    </w:p>
    <w:p w14:paraId="760FA8E2" w14:textId="77777777" w:rsidR="00A42334" w:rsidRPr="00A826B0" w:rsidRDefault="00A42334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0A7443EE" w14:textId="5401032F" w:rsidR="00A42334" w:rsidRPr="00A826B0" w:rsidRDefault="00A42334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A826B0">
        <w:rPr>
          <w:rFonts w:ascii="Arial" w:hAnsi="Arial" w:cs="Arial"/>
          <w:color w:val="EE0000"/>
          <w:sz w:val="22"/>
          <w:szCs w:val="22"/>
        </w:rPr>
        <w:t>Commentary:  The above assignment rule is less efficient than the approach in the US (described below).  A carrier who requires 10 blocks that cannot qualify for a CO Code for Pool Replenishment will be required to provision and test the translations for each of the 10 Blocks</w:t>
      </w:r>
      <w:r w:rsidR="00A445FD" w:rsidRPr="00A826B0">
        <w:rPr>
          <w:rFonts w:ascii="Arial" w:hAnsi="Arial" w:cs="Arial"/>
          <w:color w:val="EE0000"/>
          <w:sz w:val="22"/>
          <w:szCs w:val="22"/>
        </w:rPr>
        <w:t>.</w:t>
      </w:r>
      <w:r w:rsidR="000705AB">
        <w:rPr>
          <w:rFonts w:ascii="Arial" w:hAnsi="Arial" w:cs="Arial"/>
          <w:color w:val="EE0000"/>
          <w:sz w:val="22"/>
          <w:szCs w:val="22"/>
        </w:rPr>
        <w:t xml:space="preserve">  Suggestion:  We can plan to develop systems to accommodate the US approach </w:t>
      </w:r>
      <w:proofErr w:type="gramStart"/>
      <w:r w:rsidR="000705AB">
        <w:rPr>
          <w:rFonts w:ascii="Arial" w:hAnsi="Arial" w:cs="Arial"/>
          <w:color w:val="EE0000"/>
          <w:sz w:val="22"/>
          <w:szCs w:val="22"/>
        </w:rPr>
        <w:t>at a later date</w:t>
      </w:r>
      <w:proofErr w:type="gramEnd"/>
      <w:r w:rsidR="000705AB">
        <w:rPr>
          <w:rFonts w:ascii="Arial" w:hAnsi="Arial" w:cs="Arial"/>
          <w:color w:val="EE0000"/>
          <w:sz w:val="22"/>
          <w:szCs w:val="22"/>
        </w:rPr>
        <w:t xml:space="preserve"> followed by an update to the guideline.  </w:t>
      </w:r>
      <w:r w:rsidR="000705AB" w:rsidRPr="00DE3161">
        <w:rPr>
          <w:rFonts w:ascii="Arial" w:hAnsi="Arial" w:cs="Arial"/>
          <w:color w:val="EE0000"/>
          <w:sz w:val="22"/>
          <w:szCs w:val="22"/>
          <w:highlight w:val="yellow"/>
        </w:rPr>
        <w:t xml:space="preserve">Or should we put the US equivalent rule into the </w:t>
      </w:r>
      <w:r w:rsidR="00DE3161" w:rsidRPr="00DE3161">
        <w:rPr>
          <w:rFonts w:ascii="Arial" w:hAnsi="Arial" w:cs="Arial"/>
          <w:color w:val="EE0000"/>
          <w:sz w:val="22"/>
          <w:szCs w:val="22"/>
          <w:highlight w:val="yellow"/>
        </w:rPr>
        <w:t xml:space="preserve">current </w:t>
      </w:r>
      <w:r w:rsidR="000705AB" w:rsidRPr="00DE3161">
        <w:rPr>
          <w:rFonts w:ascii="Arial" w:hAnsi="Arial" w:cs="Arial"/>
          <w:color w:val="EE0000"/>
          <w:sz w:val="22"/>
          <w:szCs w:val="22"/>
          <w:highlight w:val="yellow"/>
        </w:rPr>
        <w:t>guideline with a “when available” qualifier</w:t>
      </w:r>
      <w:r w:rsidR="00DE3161" w:rsidRPr="00DE3161">
        <w:rPr>
          <w:rFonts w:ascii="Arial" w:hAnsi="Arial" w:cs="Arial"/>
          <w:color w:val="EE0000"/>
          <w:sz w:val="22"/>
          <w:szCs w:val="22"/>
          <w:highlight w:val="yellow"/>
        </w:rPr>
        <w:t>.</w:t>
      </w:r>
    </w:p>
    <w:p w14:paraId="058FBD42" w14:textId="77777777" w:rsidR="00A445FD" w:rsidRPr="00A826B0" w:rsidRDefault="00A445FD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049C8215" w14:textId="06BE4845" w:rsidR="00A826B0" w:rsidRPr="00A826B0" w:rsidRDefault="00A826B0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A826B0">
        <w:rPr>
          <w:rFonts w:ascii="Arial" w:hAnsi="Arial" w:cs="Arial"/>
          <w:color w:val="EE0000"/>
          <w:sz w:val="22"/>
          <w:szCs w:val="22"/>
        </w:rPr>
        <w:t>US Approach</w:t>
      </w:r>
    </w:p>
    <w:p w14:paraId="55A8BAF9" w14:textId="77777777" w:rsidR="00A826B0" w:rsidRPr="000705AB" w:rsidRDefault="00A826B0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4E2C9C46" w14:textId="0E8F0DD5" w:rsidR="00A445FD" w:rsidRPr="000705AB" w:rsidRDefault="00A826B0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0705AB">
        <w:rPr>
          <w:rFonts w:ascii="Arial" w:hAnsi="Arial" w:cs="Arial"/>
          <w:color w:val="EE0000"/>
          <w:sz w:val="22"/>
          <w:szCs w:val="22"/>
        </w:rPr>
        <w:t>To implement the US Rule equivalent, there needs to be</w:t>
      </w:r>
      <w:r w:rsidR="00A445FD" w:rsidRPr="000705AB">
        <w:rPr>
          <w:rFonts w:ascii="Arial" w:hAnsi="Arial" w:cs="Arial"/>
          <w:color w:val="EE0000"/>
          <w:sz w:val="22"/>
          <w:szCs w:val="22"/>
        </w:rPr>
        <w:t xml:space="preserve"> a requirement for carriers to file additional semi-annual twelve</w:t>
      </w:r>
      <w:r w:rsidRPr="000705AB">
        <w:rPr>
          <w:rFonts w:ascii="Arial" w:hAnsi="Arial" w:cs="Arial"/>
          <w:color w:val="EE0000"/>
          <w:sz w:val="22"/>
          <w:szCs w:val="22"/>
        </w:rPr>
        <w:t>-</w:t>
      </w:r>
      <w:r w:rsidR="00A445FD" w:rsidRPr="000705AB">
        <w:rPr>
          <w:rFonts w:ascii="Arial" w:hAnsi="Arial" w:cs="Arial"/>
          <w:color w:val="EE0000"/>
          <w:sz w:val="22"/>
          <w:szCs w:val="22"/>
        </w:rPr>
        <w:t>month forecasts for each Exchange Area Pool they operate in.  CNA would be required to aggregate these forecasts and make available</w:t>
      </w:r>
      <w:r w:rsidRPr="000705AB">
        <w:rPr>
          <w:rFonts w:ascii="Arial" w:hAnsi="Arial" w:cs="Arial"/>
          <w:color w:val="EE0000"/>
          <w:sz w:val="22"/>
          <w:szCs w:val="22"/>
        </w:rPr>
        <w:t xml:space="preserve"> to applicants the industry Block Demand for each Exchange Area for the current month for use prior to submitting a Pool Replenishment application (likely current as of the previous business day as carriers can update these forecasts).</w:t>
      </w:r>
      <w:r w:rsidR="00A445FD" w:rsidRPr="000705AB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60DB6E70" w14:textId="77777777" w:rsidR="00A445FD" w:rsidRPr="000705AB" w:rsidRDefault="00A445FD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37D933B3" w14:textId="4CA39102" w:rsidR="00A445FD" w:rsidRPr="000705AB" w:rsidRDefault="00A826B0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0705AB">
        <w:rPr>
          <w:rFonts w:ascii="Arial" w:hAnsi="Arial" w:cs="Arial"/>
          <w:color w:val="EE0000"/>
          <w:sz w:val="22"/>
          <w:szCs w:val="22"/>
        </w:rPr>
        <w:t xml:space="preserve">US Rule Equivalent: </w:t>
      </w:r>
      <w:r w:rsidR="00A445FD" w:rsidRPr="000705AB">
        <w:rPr>
          <w:rFonts w:ascii="Arial" w:hAnsi="Arial" w:cs="Arial"/>
          <w:color w:val="EE0000"/>
          <w:sz w:val="22"/>
          <w:szCs w:val="22"/>
        </w:rPr>
        <w:t xml:space="preserve">An application for a CO Code for Pool Replenishment shall only be permitted where the requested number of Blocks is greater than the number of available Blocks in the Exchange Area Pool </w:t>
      </w:r>
      <w:r w:rsidR="00A445FD" w:rsidRPr="000705AB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or the aggregate forecasted demand for Blocks in the Exchange Area Pool is greater than the available Blocks in the Exchange Area Pool.</w:t>
      </w:r>
    </w:p>
    <w:p w14:paraId="1D46FDB6" w14:textId="77777777" w:rsidR="00A445FD" w:rsidRPr="000705AB" w:rsidRDefault="00A445FD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0F875BF0" w14:textId="4C5C0D94" w:rsidR="00A445FD" w:rsidRPr="000705AB" w:rsidRDefault="00A445FD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  <w:proofErr w:type="gramStart"/>
      <w:r w:rsidRPr="000705AB">
        <w:rPr>
          <w:rFonts w:ascii="Arial" w:hAnsi="Arial" w:cs="Arial"/>
          <w:color w:val="EE0000"/>
          <w:sz w:val="22"/>
          <w:szCs w:val="22"/>
        </w:rPr>
        <w:t>For the purpose of</w:t>
      </w:r>
      <w:proofErr w:type="gramEnd"/>
      <w:r w:rsidRPr="000705AB">
        <w:rPr>
          <w:rFonts w:ascii="Arial" w:hAnsi="Arial" w:cs="Arial"/>
          <w:color w:val="EE0000"/>
          <w:sz w:val="22"/>
          <w:szCs w:val="22"/>
        </w:rPr>
        <w:t xml:space="preserve"> this rule, Blocks with Contamination and Blocks with a future availability date (i.e., Blocks available after the CO Code Effective Date) shall be considered available blocks.  Blocks that are awaiting PSTN Activation shall not be considered available Blocks.</w:t>
      </w:r>
    </w:p>
    <w:p w14:paraId="5C1793A1" w14:textId="11573084" w:rsidR="000705AB" w:rsidRDefault="000705AB">
      <w:pPr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br w:type="page"/>
      </w:r>
    </w:p>
    <w:p w14:paraId="58ECFB50" w14:textId="77777777" w:rsidR="00A445FD" w:rsidRPr="000705AB" w:rsidRDefault="00A445FD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7C3364E6" w14:textId="1FAA5E07" w:rsidR="00A445FD" w:rsidRPr="000705AB" w:rsidRDefault="000705AB" w:rsidP="000705AB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0705AB">
        <w:rPr>
          <w:rFonts w:ascii="Arial" w:hAnsi="Arial" w:cs="Arial"/>
          <w:color w:val="EE0000"/>
          <w:sz w:val="22"/>
          <w:szCs w:val="22"/>
        </w:rPr>
        <w:t xml:space="preserve">Forecast Sample </w:t>
      </w:r>
      <w:proofErr w:type="gramStart"/>
      <w:r w:rsidRPr="000705AB">
        <w:rPr>
          <w:rFonts w:ascii="Arial" w:hAnsi="Arial" w:cs="Arial"/>
          <w:color w:val="EE0000"/>
          <w:sz w:val="22"/>
          <w:szCs w:val="22"/>
        </w:rPr>
        <w:t>From</w:t>
      </w:r>
      <w:proofErr w:type="gramEnd"/>
      <w:r w:rsidRPr="000705AB"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color w:val="EE0000"/>
          <w:sz w:val="22"/>
          <w:szCs w:val="22"/>
        </w:rPr>
        <w:t>US Pool Admin System</w:t>
      </w:r>
    </w:p>
    <w:p w14:paraId="5686EEAC" w14:textId="77777777" w:rsidR="000705AB" w:rsidRDefault="000705AB" w:rsidP="00A42334">
      <w:pPr>
        <w:spacing w:after="0" w:line="240" w:lineRule="auto"/>
        <w:rPr>
          <w:color w:val="EE0000"/>
        </w:rPr>
      </w:pPr>
    </w:p>
    <w:p w14:paraId="1995C96D" w14:textId="2CFC41AD" w:rsidR="000705AB" w:rsidRDefault="000705AB" w:rsidP="00A42334">
      <w:pPr>
        <w:spacing w:after="0" w:line="240" w:lineRule="auto"/>
        <w:rPr>
          <w:color w:val="EE0000"/>
        </w:rPr>
      </w:pPr>
      <w:r>
        <w:rPr>
          <w:noProof/>
        </w:rPr>
        <w:drawing>
          <wp:inline distT="0" distB="0" distL="0" distR="0" wp14:anchorId="6201C3BF" wp14:editId="5BC2D0E8">
            <wp:extent cx="4867995" cy="3509533"/>
            <wp:effectExtent l="0" t="0" r="0" b="0"/>
            <wp:docPr id="2104525634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25634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980" cy="351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5BF7" w14:textId="77777777" w:rsidR="000705AB" w:rsidRDefault="000705AB" w:rsidP="00A42334">
      <w:pPr>
        <w:spacing w:after="0" w:line="240" w:lineRule="auto"/>
        <w:rPr>
          <w:color w:val="EE0000"/>
        </w:rPr>
      </w:pPr>
    </w:p>
    <w:p w14:paraId="2E90EF0E" w14:textId="5BC4F3EB" w:rsidR="000705AB" w:rsidRPr="000705AB" w:rsidRDefault="000705AB" w:rsidP="00A42334">
      <w:pPr>
        <w:spacing w:after="0" w:line="240" w:lineRule="auto"/>
        <w:rPr>
          <w:rFonts w:ascii="Arial" w:hAnsi="Arial" w:cs="Arial"/>
          <w:color w:val="EE0000"/>
          <w:sz w:val="22"/>
          <w:szCs w:val="22"/>
        </w:rPr>
      </w:pPr>
      <w:r w:rsidRPr="000705AB">
        <w:rPr>
          <w:rFonts w:ascii="Arial" w:hAnsi="Arial" w:cs="Arial"/>
          <w:color w:val="EE0000"/>
          <w:sz w:val="22"/>
          <w:szCs w:val="22"/>
        </w:rPr>
        <w:t>Sample Feedback to Carriers at time of Block Request</w:t>
      </w:r>
      <w:r>
        <w:rPr>
          <w:rFonts w:ascii="Arial" w:hAnsi="Arial" w:cs="Arial"/>
          <w:color w:val="EE0000"/>
          <w:sz w:val="22"/>
          <w:szCs w:val="22"/>
        </w:rPr>
        <w:t xml:space="preserve"> from US Pool Admin System</w:t>
      </w:r>
    </w:p>
    <w:p w14:paraId="086FCAC8" w14:textId="77777777" w:rsidR="000705AB" w:rsidRDefault="000705AB" w:rsidP="00A42334">
      <w:pPr>
        <w:spacing w:after="0" w:line="240" w:lineRule="auto"/>
        <w:rPr>
          <w:color w:val="EE0000"/>
        </w:rPr>
      </w:pPr>
    </w:p>
    <w:p w14:paraId="53D8BC34" w14:textId="651973D0" w:rsidR="000705AB" w:rsidRDefault="000705AB" w:rsidP="00A42334">
      <w:pPr>
        <w:spacing w:after="0" w:line="240" w:lineRule="auto"/>
        <w:rPr>
          <w:color w:val="EE0000"/>
        </w:rPr>
      </w:pPr>
      <w:r>
        <w:rPr>
          <w:noProof/>
        </w:rPr>
        <w:drawing>
          <wp:inline distT="0" distB="0" distL="0" distR="0" wp14:anchorId="151D025A" wp14:editId="2A7B6AF4">
            <wp:extent cx="4513729" cy="2685090"/>
            <wp:effectExtent l="0" t="0" r="1270" b="1270"/>
            <wp:docPr id="14240159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15930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352" cy="269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04492" w14:textId="77777777" w:rsidR="000705AB" w:rsidRDefault="000705AB" w:rsidP="00A42334">
      <w:pPr>
        <w:spacing w:after="0" w:line="240" w:lineRule="auto"/>
        <w:rPr>
          <w:color w:val="EE0000"/>
        </w:rPr>
      </w:pPr>
    </w:p>
    <w:p w14:paraId="694FBF8E" w14:textId="77777777" w:rsidR="000705AB" w:rsidRPr="00A42334" w:rsidRDefault="000705AB" w:rsidP="00A42334">
      <w:pPr>
        <w:spacing w:after="0" w:line="240" w:lineRule="auto"/>
        <w:rPr>
          <w:color w:val="EE0000"/>
        </w:rPr>
      </w:pPr>
    </w:p>
    <w:sectPr w:rsidR="000705AB" w:rsidRPr="00A42334" w:rsidSect="004353D8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34"/>
    <w:rsid w:val="000705AB"/>
    <w:rsid w:val="002A60D8"/>
    <w:rsid w:val="003A68BA"/>
    <w:rsid w:val="004353D8"/>
    <w:rsid w:val="00A42334"/>
    <w:rsid w:val="00A445FD"/>
    <w:rsid w:val="00A826B0"/>
    <w:rsid w:val="00A87F73"/>
    <w:rsid w:val="00C02259"/>
    <w:rsid w:val="00DE3161"/>
    <w:rsid w:val="00F8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4333"/>
  <w15:chartTrackingRefBased/>
  <w15:docId w15:val="{A9DA3CC0-6A3D-48E0-B47E-AA544EA9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33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353D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353D8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C4A45.BD461D8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2.png@01DC4A45.BD461D80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958784a82ebd45dbab09ff47b008a4a5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fcc6f4d35de7993d9daa4db9821ca47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CBEDF1-6952-4946-A9AA-3AE317468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376B8-1376-4019-BD94-2C0764E2D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8BD19-0372-405B-B8E1-972BE6C68EE9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Antecol</dc:creator>
  <cp:keywords/>
  <dc:description/>
  <cp:lastModifiedBy>David Comrie</cp:lastModifiedBy>
  <cp:revision>5</cp:revision>
  <dcterms:created xsi:type="dcterms:W3CDTF">2025-11-03T13:15:00Z</dcterms:created>
  <dcterms:modified xsi:type="dcterms:W3CDTF">2025-11-03T14:49:00Z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