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6D55" w14:textId="77777777" w:rsidR="00AA69F5" w:rsidRDefault="00D920C1" w:rsidP="00AA69F5">
      <w:pPr>
        <w:rPr>
          <w:rFonts w:ascii="Arial" w:hAnsi="Arial" w:cs="Arial"/>
          <w:b/>
          <w:bCs/>
        </w:rPr>
      </w:pPr>
      <w:r w:rsidRPr="00031B30">
        <w:rPr>
          <w:rFonts w:ascii="Arial" w:hAnsi="Arial" w:cs="Arial"/>
          <w:b/>
          <w:bCs/>
        </w:rPr>
        <w:t>CRTC INTERCONNECTION STEERING COMMITTEE</w:t>
      </w:r>
    </w:p>
    <w:p w14:paraId="52E02DD8" w14:textId="77777777" w:rsidR="00D920C1" w:rsidRPr="00031B30" w:rsidRDefault="00D920C1" w:rsidP="00D920C1">
      <w:pPr>
        <w:rPr>
          <w:rFonts w:ascii="Arial" w:hAnsi="Arial" w:cs="Arial"/>
        </w:rPr>
      </w:pPr>
      <w:r w:rsidRPr="00031B30">
        <w:rPr>
          <w:rFonts w:ascii="Arial" w:hAnsi="Arial" w:cs="Arial"/>
          <w:b/>
          <w:bCs/>
          <w:u w:val="single"/>
        </w:rPr>
        <w:t>TIF REPORT</w:t>
      </w:r>
    </w:p>
    <w:p w14:paraId="7D4B9ABF" w14:textId="6BD56033" w:rsidR="00D920C1" w:rsidRPr="00031B30" w:rsidRDefault="00D920C1" w:rsidP="00D920C1">
      <w:pPr>
        <w:rPr>
          <w:rFonts w:ascii="Arial" w:hAnsi="Arial" w:cs="Arial"/>
        </w:rPr>
      </w:pPr>
      <w:r w:rsidRPr="00031B30">
        <w:rPr>
          <w:rFonts w:ascii="Arial" w:hAnsi="Arial" w:cs="Arial"/>
          <w:b/>
          <w:bCs/>
        </w:rPr>
        <w:t>Date Submitted:            </w:t>
      </w:r>
      <w:r w:rsidR="00624D33">
        <w:rPr>
          <w:rFonts w:ascii="Arial" w:hAnsi="Arial" w:cs="Arial"/>
          <w:b/>
          <w:bCs/>
        </w:rPr>
        <w:t>2 April 2024</w:t>
      </w:r>
    </w:p>
    <w:p w14:paraId="587C8513" w14:textId="77777777" w:rsidR="00D920C1" w:rsidRPr="00031B30" w:rsidRDefault="00D920C1" w:rsidP="00D920C1">
      <w:pPr>
        <w:rPr>
          <w:rFonts w:ascii="Arial" w:hAnsi="Arial" w:cs="Arial"/>
        </w:rPr>
      </w:pPr>
      <w:r w:rsidRPr="00031B30">
        <w:rPr>
          <w:rFonts w:ascii="Arial" w:hAnsi="Arial" w:cs="Arial"/>
          <w:b/>
          <w:bCs/>
        </w:rPr>
        <w:t>WORKING GROUP:</w:t>
      </w:r>
      <w:r w:rsidRPr="00031B30">
        <w:rPr>
          <w:rFonts w:ascii="Arial" w:hAnsi="Arial" w:cs="Arial"/>
          <w:b/>
          <w:bCs/>
        </w:rPr>
        <w:tab/>
        <w:t>CSCN</w:t>
      </w:r>
    </w:p>
    <w:p w14:paraId="3C0A1520" w14:textId="00CBD5B5" w:rsidR="00D920C1" w:rsidRPr="00031B30" w:rsidRDefault="00D920C1" w:rsidP="00D920C1">
      <w:pPr>
        <w:rPr>
          <w:rFonts w:ascii="Arial" w:hAnsi="Arial" w:cs="Arial"/>
        </w:rPr>
      </w:pPr>
      <w:r w:rsidRPr="00031B30">
        <w:rPr>
          <w:rFonts w:ascii="Arial" w:hAnsi="Arial" w:cs="Arial"/>
          <w:b/>
          <w:bCs/>
        </w:rPr>
        <w:t xml:space="preserve">REPORT </w:t>
      </w:r>
      <w:r w:rsidRPr="0016274C">
        <w:rPr>
          <w:rFonts w:ascii="Arial" w:hAnsi="Arial" w:cs="Arial"/>
          <w:b/>
          <w:bCs/>
        </w:rPr>
        <w:t>#:    </w:t>
      </w:r>
      <w:r w:rsidR="003A0896" w:rsidRPr="00BF40BF">
        <w:rPr>
          <w:rFonts w:ascii="Arial" w:hAnsi="Arial" w:cs="Arial"/>
          <w:b/>
          <w:bCs/>
        </w:rPr>
        <w:t>138</w:t>
      </w:r>
      <w:r w:rsidR="003A0896">
        <w:rPr>
          <w:rFonts w:ascii="Arial" w:hAnsi="Arial" w:cs="Arial"/>
          <w:b/>
          <w:bCs/>
        </w:rPr>
        <w:t>B</w:t>
      </w:r>
      <w:r w:rsidR="003A0896" w:rsidRPr="00BF40BF">
        <w:rPr>
          <w:rFonts w:ascii="Arial" w:hAnsi="Arial" w:cs="Arial"/>
          <w:b/>
          <w:bCs/>
        </w:rPr>
        <w:t>    </w:t>
      </w:r>
      <w:r w:rsidR="003A0896" w:rsidRPr="00031B30">
        <w:rPr>
          <w:rFonts w:ascii="Arial" w:hAnsi="Arial" w:cs="Arial"/>
          <w:b/>
          <w:bCs/>
        </w:rPr>
        <w:t> </w:t>
      </w:r>
      <w:r w:rsidR="001957A4">
        <w:rPr>
          <w:rFonts w:ascii="Arial" w:hAnsi="Arial" w:cs="Arial"/>
          <w:b/>
          <w:bCs/>
        </w:rPr>
        <w:tab/>
      </w:r>
      <w:r w:rsidR="001957A4">
        <w:rPr>
          <w:rFonts w:ascii="Arial" w:hAnsi="Arial" w:cs="Arial"/>
          <w:b/>
          <w:bCs/>
        </w:rPr>
        <w:tab/>
      </w:r>
      <w:r w:rsidR="001957A4">
        <w:rPr>
          <w:rFonts w:ascii="Arial" w:hAnsi="Arial" w:cs="Arial"/>
          <w:b/>
          <w:bCs/>
        </w:rPr>
        <w:tab/>
      </w:r>
      <w:r w:rsidRPr="00031B30">
        <w:rPr>
          <w:rFonts w:ascii="Arial" w:hAnsi="Arial" w:cs="Arial"/>
          <w:b/>
          <w:bCs/>
        </w:rPr>
        <w:t xml:space="preserve">File ID:  </w:t>
      </w:r>
      <w:r w:rsidR="003A0896" w:rsidRPr="0016274C">
        <w:rPr>
          <w:rFonts w:ascii="Arial" w:hAnsi="Arial" w:cs="Arial"/>
          <w:b/>
          <w:bCs/>
        </w:rPr>
        <w:t>CNRE138</w:t>
      </w:r>
      <w:r w:rsidR="003A0896">
        <w:rPr>
          <w:rFonts w:ascii="Arial" w:hAnsi="Arial" w:cs="Arial"/>
          <w:b/>
          <w:bCs/>
        </w:rPr>
        <w:t>B</w:t>
      </w:r>
    </w:p>
    <w:p w14:paraId="69D943B0" w14:textId="77777777" w:rsidR="002269CB" w:rsidRDefault="00D920C1" w:rsidP="00D920C1">
      <w:pPr>
        <w:rPr>
          <w:rFonts w:ascii="Arial" w:hAnsi="Arial" w:cs="Arial"/>
          <w:b/>
          <w:bCs/>
        </w:rPr>
      </w:pPr>
      <w:r w:rsidRPr="00031B30">
        <w:rPr>
          <w:rFonts w:ascii="Arial" w:hAnsi="Arial" w:cs="Arial"/>
          <w:b/>
          <w:bCs/>
        </w:rPr>
        <w:t>REPORT TITLE</w:t>
      </w:r>
      <w:r w:rsidRPr="00031B30">
        <w:rPr>
          <w:rFonts w:ascii="Arial" w:hAnsi="Arial" w:cs="Arial"/>
        </w:rPr>
        <w:t>:</w:t>
      </w:r>
      <w:r w:rsidRPr="00031B30">
        <w:rPr>
          <w:rFonts w:ascii="Arial" w:hAnsi="Arial" w:cs="Arial"/>
        </w:rPr>
        <w:tab/>
      </w:r>
      <w:r w:rsidR="002269CB">
        <w:rPr>
          <w:rFonts w:ascii="Arial" w:hAnsi="Arial" w:cs="Arial"/>
        </w:rPr>
        <w:br/>
      </w:r>
      <w:r w:rsidR="002269CB" w:rsidRPr="002269CB">
        <w:rPr>
          <w:b/>
          <w:bCs/>
          <w:color w:val="000000"/>
          <w:sz w:val="24"/>
          <w:szCs w:val="24"/>
        </w:rPr>
        <w:t>Methods to Address the High Assignment Rate of Non-Geographic (6YY) CO Codes</w:t>
      </w:r>
      <w:r w:rsidR="002269CB" w:rsidRPr="00C57FFA">
        <w:rPr>
          <w:rFonts w:ascii="Arial" w:hAnsi="Arial" w:cs="Arial"/>
          <w:b/>
          <w:bCs/>
        </w:rPr>
        <w:t xml:space="preserve"> </w:t>
      </w:r>
    </w:p>
    <w:p w14:paraId="4F06B9B0" w14:textId="77777777" w:rsidR="00D920C1" w:rsidRPr="00031B30" w:rsidRDefault="00D920C1" w:rsidP="00D920C1">
      <w:pPr>
        <w:rPr>
          <w:rFonts w:ascii="Arial" w:hAnsi="Arial" w:cs="Arial"/>
        </w:rPr>
      </w:pPr>
      <w:r w:rsidRPr="00C57FFA">
        <w:rPr>
          <w:rFonts w:ascii="Arial" w:hAnsi="Arial" w:cs="Arial"/>
          <w:b/>
          <w:bCs/>
        </w:rPr>
        <w:t xml:space="preserve">OUTCOME: </w:t>
      </w:r>
      <w:r w:rsidR="00C57FFA">
        <w:rPr>
          <w:rFonts w:ascii="Arial" w:hAnsi="Arial" w:cs="Arial"/>
          <w:b/>
          <w:bCs/>
        </w:rPr>
        <w:tab/>
      </w:r>
      <w:r w:rsidR="00C57FFA">
        <w:rPr>
          <w:rFonts w:ascii="Arial" w:hAnsi="Arial" w:cs="Arial"/>
          <w:b/>
          <w:bCs/>
        </w:rPr>
        <w:tab/>
      </w:r>
      <w:r w:rsidRPr="0016274C">
        <w:rPr>
          <w:rFonts w:ascii="Arial" w:hAnsi="Arial" w:cs="Arial"/>
          <w:b/>
          <w:bCs/>
        </w:rPr>
        <w:t>CONSENSUS</w:t>
      </w:r>
      <w:r w:rsidR="001D0C99" w:rsidRPr="0016274C">
        <w:rPr>
          <w:rFonts w:ascii="Arial" w:hAnsi="Arial" w:cs="Arial"/>
          <w:b/>
          <w:bCs/>
        </w:rPr>
        <w:t xml:space="preserve"> </w:t>
      </w:r>
    </w:p>
    <w:p w14:paraId="500E6D5A" w14:textId="77777777" w:rsidR="00D920C1" w:rsidRPr="00031B30" w:rsidRDefault="00D920C1" w:rsidP="00D920C1">
      <w:pPr>
        <w:rPr>
          <w:rFonts w:ascii="Arial" w:hAnsi="Arial" w:cs="Arial"/>
        </w:rPr>
      </w:pPr>
      <w:r w:rsidRPr="00031B30">
        <w:rPr>
          <w:rFonts w:ascii="Arial" w:hAnsi="Arial" w:cs="Arial"/>
          <w:b/>
          <w:bCs/>
        </w:rPr>
        <w:t>RELATED TASK(s) #:</w:t>
      </w:r>
      <w:r w:rsidRPr="00031B30">
        <w:rPr>
          <w:rFonts w:ascii="Arial" w:hAnsi="Arial" w:cs="Arial"/>
          <w:b/>
          <w:bCs/>
        </w:rPr>
        <w:tab/>
        <w:t>n/a</w:t>
      </w:r>
    </w:p>
    <w:p w14:paraId="5485FC6C" w14:textId="77777777" w:rsidR="00D920C1" w:rsidRPr="00031B30" w:rsidRDefault="00D920C1" w:rsidP="00D920C1">
      <w:pPr>
        <w:rPr>
          <w:rFonts w:ascii="Arial" w:hAnsi="Arial" w:cs="Arial"/>
          <w:b/>
          <w:bCs/>
        </w:rPr>
      </w:pPr>
      <w:r w:rsidRPr="00031B30">
        <w:rPr>
          <w:rFonts w:ascii="Arial" w:hAnsi="Arial" w:cs="Arial"/>
          <w:b/>
          <w:bCs/>
        </w:rPr>
        <w:t>BACKGROUND:</w:t>
      </w:r>
    </w:p>
    <w:p w14:paraId="33319633" w14:textId="77777777" w:rsidR="009714F4" w:rsidRPr="005856D7" w:rsidRDefault="009714F4" w:rsidP="005856D7">
      <w:pPr>
        <w:jc w:val="both"/>
        <w:rPr>
          <w:rFonts w:ascii="Arial" w:hAnsi="Arial" w:cs="Arial"/>
          <w:color w:val="000000"/>
        </w:rPr>
      </w:pPr>
      <w:r w:rsidRPr="005856D7">
        <w:rPr>
          <w:rFonts w:ascii="Arial" w:hAnsi="Arial" w:cs="Arial"/>
        </w:rPr>
        <w:t xml:space="preserve">In mid-2022, </w:t>
      </w:r>
      <w:r w:rsidR="00AA4CAC">
        <w:rPr>
          <w:rFonts w:ascii="Arial" w:hAnsi="Arial" w:cs="Arial"/>
          <w:color w:val="000000"/>
        </w:rPr>
        <w:t>t</w:t>
      </w:r>
      <w:r w:rsidR="00AA4CAC" w:rsidRPr="005856D7">
        <w:rPr>
          <w:rFonts w:ascii="Arial" w:hAnsi="Arial" w:cs="Arial"/>
          <w:color w:val="000000"/>
        </w:rPr>
        <w:t xml:space="preserve">he </w:t>
      </w:r>
      <w:r w:rsidRPr="005856D7">
        <w:rPr>
          <w:rFonts w:ascii="Arial" w:hAnsi="Arial" w:cs="Arial"/>
          <w:color w:val="000000"/>
        </w:rPr>
        <w:t xml:space="preserve">Canadian Numbering Administrator (CNA) compiled an updated </w:t>
      </w:r>
      <w:r w:rsidR="00865840" w:rsidRPr="005856D7">
        <w:rPr>
          <w:rFonts w:ascii="Arial" w:hAnsi="Arial" w:cs="Arial"/>
          <w:color w:val="000000"/>
        </w:rPr>
        <w:t>Non-Geographic</w:t>
      </w:r>
      <w:r w:rsidRPr="005856D7">
        <w:rPr>
          <w:rFonts w:ascii="Arial" w:hAnsi="Arial" w:cs="Arial"/>
          <w:color w:val="000000"/>
        </w:rPr>
        <w:t xml:space="preserve"> (6YY) Numbering Resource Utilization Forecast (NRUF) based on revised data that </w:t>
      </w:r>
      <w:r w:rsidR="002761A6">
        <w:rPr>
          <w:rFonts w:ascii="Arial" w:hAnsi="Arial" w:cs="Arial"/>
          <w:color w:val="000000"/>
        </w:rPr>
        <w:t>had been</w:t>
      </w:r>
      <w:r w:rsidR="002761A6" w:rsidRPr="005856D7">
        <w:rPr>
          <w:rFonts w:ascii="Arial" w:hAnsi="Arial" w:cs="Arial"/>
          <w:color w:val="000000"/>
        </w:rPr>
        <w:t xml:space="preserve"> </w:t>
      </w:r>
      <w:r w:rsidRPr="005856D7">
        <w:rPr>
          <w:rFonts w:ascii="Arial" w:hAnsi="Arial" w:cs="Arial"/>
          <w:color w:val="000000"/>
        </w:rPr>
        <w:t xml:space="preserve">received. The </w:t>
      </w:r>
      <w:r w:rsidR="00532916" w:rsidRPr="005856D7">
        <w:rPr>
          <w:rFonts w:ascii="Arial" w:hAnsi="Arial" w:cs="Arial"/>
          <w:color w:val="000000"/>
        </w:rPr>
        <w:t>updated</w:t>
      </w:r>
      <w:r w:rsidRPr="005856D7">
        <w:rPr>
          <w:rFonts w:ascii="Arial" w:hAnsi="Arial" w:cs="Arial"/>
          <w:color w:val="000000"/>
        </w:rPr>
        <w:t xml:space="preserve"> forecast indicated a significant acceleration in the rate of Non-Geographic </w:t>
      </w:r>
      <w:r w:rsidR="007B356A">
        <w:rPr>
          <w:rFonts w:ascii="Arial" w:hAnsi="Arial" w:cs="Arial"/>
          <w:color w:val="000000"/>
        </w:rPr>
        <w:t>NXX</w:t>
      </w:r>
      <w:r w:rsidRPr="005856D7">
        <w:rPr>
          <w:rFonts w:ascii="Arial" w:hAnsi="Arial" w:cs="Arial"/>
          <w:color w:val="000000"/>
        </w:rPr>
        <w:t xml:space="preserve"> assignments that would substantially impact both the number of NPA Codes reserved for </w:t>
      </w:r>
      <w:r w:rsidR="00865840" w:rsidRPr="005856D7">
        <w:rPr>
          <w:rFonts w:ascii="Arial" w:hAnsi="Arial" w:cs="Arial"/>
          <w:color w:val="000000"/>
        </w:rPr>
        <w:t>Non-Geographic</w:t>
      </w:r>
      <w:r w:rsidRPr="005856D7">
        <w:rPr>
          <w:rFonts w:ascii="Arial" w:hAnsi="Arial" w:cs="Arial"/>
          <w:color w:val="000000"/>
        </w:rPr>
        <w:t xml:space="preserve"> assignments in Canada and the North American Numbering Plan as a whole.</w:t>
      </w:r>
    </w:p>
    <w:p w14:paraId="105BE9A3" w14:textId="77777777" w:rsidR="009714F4" w:rsidRPr="005856D7" w:rsidRDefault="009714F4" w:rsidP="005856D7">
      <w:pPr>
        <w:spacing w:before="100" w:beforeAutospacing="1" w:after="100" w:afterAutospacing="1" w:line="240" w:lineRule="auto"/>
        <w:jc w:val="both"/>
        <w:rPr>
          <w:rFonts w:ascii="Arial" w:eastAsia="Times New Roman" w:hAnsi="Arial" w:cs="Arial"/>
          <w:color w:val="000000"/>
          <w:lang w:eastAsia="en-CA"/>
        </w:rPr>
      </w:pPr>
      <w:r w:rsidRPr="005856D7">
        <w:rPr>
          <w:rFonts w:ascii="Arial" w:eastAsia="Times New Roman" w:hAnsi="Arial" w:cs="Arial"/>
          <w:color w:val="000000"/>
          <w:lang w:eastAsia="en-CA"/>
        </w:rPr>
        <w:t>The CNA notified Canadian Radio-television and Telecommunications Commission (CRTC) staff in a letter and suggested that CRTC staff direct the CNA to publish the updated NRUF and request that the Canadian Steering Committee on Numbering (CSCN) convene a meeting to discuss the Non</w:t>
      </w:r>
      <w:r w:rsidRPr="005856D7">
        <w:rPr>
          <w:rFonts w:ascii="Cambria Math" w:eastAsia="Times New Roman" w:hAnsi="Cambria Math" w:cs="Cambria Math"/>
          <w:color w:val="000000"/>
          <w:lang w:eastAsia="en-CA"/>
        </w:rPr>
        <w:t>‐</w:t>
      </w:r>
      <w:r w:rsidRPr="005856D7">
        <w:rPr>
          <w:rFonts w:ascii="Arial" w:eastAsia="Times New Roman" w:hAnsi="Arial" w:cs="Arial"/>
          <w:color w:val="000000"/>
          <w:lang w:eastAsia="en-CA"/>
        </w:rPr>
        <w:t xml:space="preserve">Geographic forecast results and to </w:t>
      </w:r>
      <w:r w:rsidR="008D3363" w:rsidRPr="005856D7">
        <w:rPr>
          <w:rFonts w:ascii="Arial" w:eastAsia="Times New Roman" w:hAnsi="Arial" w:cs="Arial"/>
          <w:color w:val="000000"/>
          <w:lang w:eastAsia="en-CA"/>
        </w:rPr>
        <w:t>develop</w:t>
      </w:r>
      <w:r w:rsidRPr="005856D7">
        <w:rPr>
          <w:rFonts w:ascii="Arial" w:eastAsia="Times New Roman" w:hAnsi="Arial" w:cs="Arial"/>
          <w:color w:val="000000"/>
          <w:lang w:eastAsia="en-CA"/>
        </w:rPr>
        <w:t xml:space="preserve"> possible solutions for decreasing the demand for 6YY </w:t>
      </w:r>
      <w:r w:rsidR="000A5E7D">
        <w:rPr>
          <w:rFonts w:ascii="Arial" w:eastAsia="Times New Roman" w:hAnsi="Arial" w:cs="Arial"/>
          <w:color w:val="000000"/>
          <w:lang w:eastAsia="en-CA"/>
        </w:rPr>
        <w:t>NXX</w:t>
      </w:r>
      <w:r w:rsidRPr="005856D7">
        <w:rPr>
          <w:rFonts w:ascii="Arial" w:eastAsia="Times New Roman" w:hAnsi="Arial" w:cs="Arial"/>
          <w:color w:val="000000"/>
          <w:lang w:eastAsia="en-CA"/>
        </w:rPr>
        <w:t>s.</w:t>
      </w:r>
    </w:p>
    <w:p w14:paraId="311ED427" w14:textId="77777777" w:rsidR="009714F4" w:rsidRPr="005856D7" w:rsidRDefault="009714F4" w:rsidP="005856D7">
      <w:pPr>
        <w:spacing w:before="100" w:beforeAutospacing="1" w:after="100" w:afterAutospacing="1" w:line="240" w:lineRule="auto"/>
        <w:jc w:val="both"/>
        <w:rPr>
          <w:rFonts w:ascii="Arial" w:eastAsia="Times New Roman" w:hAnsi="Arial" w:cs="Arial"/>
          <w:color w:val="000000"/>
          <w:lang w:eastAsia="en-CA"/>
        </w:rPr>
      </w:pPr>
      <w:r w:rsidRPr="005856D7">
        <w:rPr>
          <w:rFonts w:ascii="Arial" w:eastAsia="Times New Roman" w:hAnsi="Arial" w:cs="Arial"/>
          <w:color w:val="000000"/>
          <w:lang w:eastAsia="en-CA"/>
        </w:rPr>
        <w:t xml:space="preserve">On 8 August 2022, CRTC staff </w:t>
      </w:r>
      <w:r w:rsidR="004D0733">
        <w:rPr>
          <w:rFonts w:ascii="Arial" w:eastAsia="Times New Roman" w:hAnsi="Arial" w:cs="Arial"/>
          <w:color w:val="000000"/>
          <w:lang w:eastAsia="en-CA"/>
        </w:rPr>
        <w:t>advised</w:t>
      </w:r>
      <w:r w:rsidR="004D0733" w:rsidRPr="005856D7">
        <w:rPr>
          <w:rFonts w:ascii="Arial" w:eastAsia="Times New Roman" w:hAnsi="Arial" w:cs="Arial"/>
          <w:color w:val="000000"/>
          <w:lang w:eastAsia="en-CA"/>
        </w:rPr>
        <w:t xml:space="preserve"> </w:t>
      </w:r>
      <w:r w:rsidRPr="005856D7">
        <w:rPr>
          <w:rFonts w:ascii="Arial" w:eastAsia="Times New Roman" w:hAnsi="Arial" w:cs="Arial"/>
          <w:color w:val="000000"/>
          <w:lang w:eastAsia="en-CA"/>
        </w:rPr>
        <w:t>the CNA via letter to proceed with the CNA’s suggestions.</w:t>
      </w:r>
    </w:p>
    <w:p w14:paraId="06BDB004" w14:textId="77777777" w:rsidR="009714F4" w:rsidRPr="005856D7" w:rsidRDefault="009714F4" w:rsidP="005856D7">
      <w:pPr>
        <w:spacing w:before="100" w:beforeAutospacing="1" w:after="100" w:afterAutospacing="1" w:line="240" w:lineRule="auto"/>
        <w:jc w:val="both"/>
        <w:rPr>
          <w:rFonts w:ascii="Arial" w:eastAsia="Times New Roman" w:hAnsi="Arial" w:cs="Arial"/>
          <w:color w:val="000000"/>
          <w:lang w:eastAsia="en-CA"/>
        </w:rPr>
      </w:pPr>
      <w:r w:rsidRPr="005856D7">
        <w:rPr>
          <w:rFonts w:ascii="Arial" w:eastAsia="Times New Roman" w:hAnsi="Arial" w:cs="Arial"/>
          <w:color w:val="000000"/>
          <w:lang w:eastAsia="en-CA"/>
        </w:rPr>
        <w:t>On 15 August 2022, the CNA published the July 2022 Non-Geographic NRUF aggregate results on the CNA website (</w:t>
      </w:r>
      <w:hyperlink r:id="rId11" w:anchor="2022" w:history="1">
        <w:r w:rsidRPr="005856D7">
          <w:rPr>
            <w:rStyle w:val="Hyperlink"/>
            <w:rFonts w:ascii="Arial" w:eastAsia="Times New Roman" w:hAnsi="Arial" w:cs="Arial"/>
            <w:lang w:eastAsia="en-CA"/>
          </w:rPr>
          <w:t>https://cnac.ca/NRUF/NRUF.htm#2022</w:t>
        </w:r>
      </w:hyperlink>
      <w:r w:rsidRPr="005856D7">
        <w:rPr>
          <w:rFonts w:ascii="Arial" w:eastAsia="Times New Roman" w:hAnsi="Arial" w:cs="Arial"/>
          <w:color w:val="000000"/>
          <w:lang w:eastAsia="en-CA"/>
        </w:rPr>
        <w:t xml:space="preserve"> ) and sent a letter to the CSCN which was also posted on the CNA website (</w:t>
      </w:r>
      <w:hyperlink r:id="rId12" w:anchor="documents" w:history="1">
        <w:r w:rsidRPr="005856D7">
          <w:rPr>
            <w:rStyle w:val="Hyperlink"/>
            <w:rFonts w:ascii="Arial" w:eastAsia="Times New Roman" w:hAnsi="Arial" w:cs="Arial"/>
            <w:lang w:eastAsia="en-CA"/>
          </w:rPr>
          <w:t>https://cnac.ca/cscn/drafts.htm#documents</w:t>
        </w:r>
      </w:hyperlink>
      <w:r w:rsidRPr="005856D7">
        <w:rPr>
          <w:rFonts w:ascii="Arial" w:eastAsia="Times New Roman" w:hAnsi="Arial" w:cs="Arial"/>
          <w:color w:val="000000"/>
          <w:lang w:eastAsia="en-CA"/>
        </w:rPr>
        <w:t xml:space="preserve"> ).</w:t>
      </w:r>
      <w:r w:rsidR="008D3363" w:rsidRPr="005856D7">
        <w:rPr>
          <w:rFonts w:ascii="Arial" w:eastAsia="Times New Roman" w:hAnsi="Arial" w:cs="Arial"/>
          <w:color w:val="000000"/>
          <w:lang w:eastAsia="en-CA"/>
        </w:rPr>
        <w:t xml:space="preserve">  </w:t>
      </w:r>
    </w:p>
    <w:p w14:paraId="361646BF" w14:textId="77777777" w:rsidR="009714F4" w:rsidRPr="005856D7" w:rsidRDefault="009714F4" w:rsidP="005856D7">
      <w:pPr>
        <w:spacing w:before="100" w:beforeAutospacing="1" w:after="100" w:afterAutospacing="1" w:line="240" w:lineRule="auto"/>
        <w:jc w:val="both"/>
        <w:rPr>
          <w:rFonts w:ascii="Arial" w:eastAsia="Times New Roman" w:hAnsi="Arial" w:cs="Arial"/>
          <w:color w:val="000000"/>
          <w:lang w:eastAsia="en-CA"/>
        </w:rPr>
      </w:pPr>
      <w:r w:rsidRPr="005856D7">
        <w:rPr>
          <w:rFonts w:ascii="Arial" w:eastAsia="Times New Roman" w:hAnsi="Arial" w:cs="Arial"/>
          <w:color w:val="000000"/>
          <w:lang w:eastAsia="en-CA"/>
        </w:rPr>
        <w:t xml:space="preserve">The CSCN noted that some initial work related to this topic was conducted and captured in section 7.5 of </w:t>
      </w:r>
      <w:r w:rsidR="008F3542" w:rsidRPr="005856D7">
        <w:rPr>
          <w:rFonts w:ascii="Arial" w:eastAsia="Times New Roman" w:hAnsi="Arial" w:cs="Arial"/>
          <w:color w:val="000000"/>
          <w:lang w:eastAsia="en-CA"/>
        </w:rPr>
        <w:t xml:space="preserve">CSCN report </w:t>
      </w:r>
      <w:r w:rsidRPr="005856D7">
        <w:rPr>
          <w:rFonts w:ascii="Arial" w:eastAsia="Times New Roman" w:hAnsi="Arial" w:cs="Arial"/>
          <w:color w:val="000000"/>
          <w:lang w:eastAsia="en-CA"/>
        </w:rPr>
        <w:t xml:space="preserve">CNRE135A (Potential Remedies for CO Code and NPA Exhaust) </w:t>
      </w:r>
      <w:r w:rsidR="00800A6C" w:rsidRPr="005856D7">
        <w:rPr>
          <w:rFonts w:ascii="Arial" w:eastAsia="Times New Roman" w:hAnsi="Arial" w:cs="Arial"/>
          <w:color w:val="000000"/>
          <w:lang w:eastAsia="en-CA"/>
        </w:rPr>
        <w:t>from</w:t>
      </w:r>
      <w:r w:rsidRPr="005856D7">
        <w:rPr>
          <w:rFonts w:ascii="Arial" w:eastAsia="Times New Roman" w:hAnsi="Arial" w:cs="Arial"/>
          <w:color w:val="000000"/>
          <w:lang w:eastAsia="en-CA"/>
        </w:rPr>
        <w:t xml:space="preserve"> TIF 110 (Identify Solutions to Mitigate NPA and NXX Numbering Exhaust).</w:t>
      </w:r>
      <w:r w:rsidR="00562E9A" w:rsidRPr="005856D7">
        <w:rPr>
          <w:rFonts w:ascii="Arial" w:eastAsia="Times New Roman" w:hAnsi="Arial" w:cs="Arial"/>
          <w:color w:val="000000"/>
          <w:lang w:eastAsia="en-CA"/>
        </w:rPr>
        <w:t xml:space="preserve">  CNRE135A </w:t>
      </w:r>
      <w:r w:rsidR="004A67D2">
        <w:rPr>
          <w:rFonts w:ascii="Arial" w:eastAsia="Times New Roman" w:hAnsi="Arial" w:cs="Arial"/>
          <w:color w:val="000000"/>
          <w:lang w:eastAsia="en-CA"/>
        </w:rPr>
        <w:t>was submitted to the Commission. On 23 March 2023,</w:t>
      </w:r>
      <w:r w:rsidR="00E75D0B" w:rsidRPr="005856D7">
        <w:rPr>
          <w:rFonts w:ascii="Arial" w:eastAsia="Times New Roman" w:hAnsi="Arial" w:cs="Arial"/>
          <w:color w:val="000000"/>
          <w:lang w:eastAsia="en-CA"/>
        </w:rPr>
        <w:t xml:space="preserve"> </w:t>
      </w:r>
      <w:r w:rsidR="004A67D2">
        <w:rPr>
          <w:rFonts w:ascii="Arial" w:eastAsia="Times New Roman" w:hAnsi="Arial" w:cs="Arial"/>
          <w:color w:val="000000"/>
          <w:lang w:eastAsia="en-CA"/>
        </w:rPr>
        <w:t xml:space="preserve">the Commission released </w:t>
      </w:r>
      <w:r w:rsidR="00E75D0B" w:rsidRPr="005856D7">
        <w:rPr>
          <w:rFonts w:ascii="Arial" w:eastAsia="Times New Roman" w:hAnsi="Arial" w:cs="Arial"/>
          <w:color w:val="000000"/>
          <w:lang w:eastAsia="en-CA"/>
        </w:rPr>
        <w:t>Notice of Consultation CRTC 2023-92, “</w:t>
      </w:r>
      <w:r w:rsidR="005856D7" w:rsidRPr="005856D7">
        <w:rPr>
          <w:rFonts w:ascii="Arial" w:eastAsia="Times New Roman" w:hAnsi="Arial" w:cs="Arial"/>
          <w:color w:val="000000"/>
          <w:lang w:eastAsia="en-CA"/>
        </w:rPr>
        <w:t>Call for comments – Implementing thousand-block pooling.”</w:t>
      </w:r>
    </w:p>
    <w:p w14:paraId="0FA4D732" w14:textId="77777777" w:rsidR="009714F4" w:rsidRPr="005856D7" w:rsidRDefault="009714F4" w:rsidP="005856D7">
      <w:pPr>
        <w:jc w:val="both"/>
        <w:rPr>
          <w:rFonts w:ascii="Arial" w:hAnsi="Arial" w:cs="Arial"/>
        </w:rPr>
      </w:pPr>
      <w:r w:rsidRPr="005856D7">
        <w:rPr>
          <w:rFonts w:ascii="Arial" w:hAnsi="Arial" w:cs="Arial"/>
        </w:rPr>
        <w:t xml:space="preserve">The CSCN met on 24 August 2022 to review the </w:t>
      </w:r>
      <w:r w:rsidR="00865840" w:rsidRPr="005856D7">
        <w:rPr>
          <w:rFonts w:ascii="Arial" w:hAnsi="Arial" w:cs="Arial"/>
        </w:rPr>
        <w:t>Non-Geographic</w:t>
      </w:r>
      <w:r w:rsidRPr="005856D7">
        <w:rPr>
          <w:rFonts w:ascii="Arial" w:hAnsi="Arial" w:cs="Arial"/>
        </w:rPr>
        <w:t xml:space="preserve"> NRUF aggregate results which were posted on the CNA website on 15 August 2022.  The CSCN agreed to draft and open TIF 112 (CNTF112A) – “</w:t>
      </w:r>
      <w:r w:rsidRPr="005856D7">
        <w:rPr>
          <w:rFonts w:ascii="Arial" w:hAnsi="Arial" w:cs="Arial"/>
          <w:i/>
          <w:iCs/>
          <w:color w:val="000000"/>
        </w:rPr>
        <w:t xml:space="preserve">Address assignment rate of </w:t>
      </w:r>
      <w:r w:rsidR="00865840" w:rsidRPr="005856D7">
        <w:rPr>
          <w:rFonts w:ascii="Arial" w:hAnsi="Arial" w:cs="Arial"/>
          <w:i/>
          <w:iCs/>
          <w:color w:val="000000"/>
        </w:rPr>
        <w:t>Non-Geographic</w:t>
      </w:r>
      <w:r w:rsidRPr="005856D7">
        <w:rPr>
          <w:rFonts w:ascii="Arial" w:hAnsi="Arial" w:cs="Arial"/>
          <w:i/>
          <w:iCs/>
          <w:color w:val="000000"/>
        </w:rPr>
        <w:t xml:space="preserve"> (6YY) CO Codes</w:t>
      </w:r>
      <w:r w:rsidRPr="005856D7">
        <w:rPr>
          <w:rFonts w:ascii="Arial" w:hAnsi="Arial" w:cs="Arial"/>
          <w:color w:val="000000"/>
        </w:rPr>
        <w:t>.”</w:t>
      </w:r>
    </w:p>
    <w:p w14:paraId="41E0496B" w14:textId="77777777" w:rsidR="00562E9A" w:rsidRDefault="008D3363" w:rsidP="005856D7">
      <w:pPr>
        <w:jc w:val="both"/>
        <w:rPr>
          <w:rFonts w:ascii="Arial" w:eastAsia="Times New Roman" w:hAnsi="Arial" w:cs="Arial"/>
          <w:color w:val="000000"/>
          <w:lang w:eastAsia="en-CA"/>
        </w:rPr>
      </w:pPr>
      <w:r w:rsidRPr="005856D7">
        <w:rPr>
          <w:rFonts w:ascii="Arial" w:hAnsi="Arial" w:cs="Arial"/>
        </w:rPr>
        <w:t>T</w:t>
      </w:r>
      <w:r w:rsidRPr="005856D7">
        <w:rPr>
          <w:rFonts w:ascii="Arial" w:eastAsia="Times New Roman" w:hAnsi="Arial" w:cs="Arial"/>
          <w:color w:val="000000"/>
          <w:lang w:eastAsia="en-CA"/>
        </w:rPr>
        <w:t xml:space="preserve">he CNA notified NANPA on </w:t>
      </w:r>
      <w:r w:rsidR="00C14C53">
        <w:rPr>
          <w:rFonts w:ascii="Arial" w:eastAsia="Times New Roman" w:hAnsi="Arial" w:cs="Arial"/>
          <w:color w:val="000000"/>
          <w:lang w:eastAsia="en-CA"/>
        </w:rPr>
        <w:t>29 November</w:t>
      </w:r>
      <w:r w:rsidRPr="005856D7">
        <w:rPr>
          <w:rFonts w:ascii="Arial" w:eastAsia="Times New Roman" w:hAnsi="Arial" w:cs="Arial"/>
          <w:color w:val="000000"/>
          <w:lang w:eastAsia="en-CA"/>
        </w:rPr>
        <w:t xml:space="preserve"> </w:t>
      </w:r>
      <w:r w:rsidR="006F6FBF" w:rsidRPr="005856D7">
        <w:rPr>
          <w:rFonts w:ascii="Arial" w:eastAsia="Times New Roman" w:hAnsi="Arial" w:cs="Arial"/>
          <w:color w:val="000000"/>
          <w:lang w:eastAsia="en-CA"/>
        </w:rPr>
        <w:t>2022,</w:t>
      </w:r>
      <w:r w:rsidRPr="005856D7">
        <w:rPr>
          <w:rFonts w:ascii="Arial" w:eastAsia="Times New Roman" w:hAnsi="Arial" w:cs="Arial"/>
          <w:color w:val="000000"/>
          <w:lang w:eastAsia="en-CA"/>
        </w:rPr>
        <w:t xml:space="preserve"> of this Non-Geographic NRUF aggregate result.</w:t>
      </w:r>
    </w:p>
    <w:p w14:paraId="546D66CF" w14:textId="77777777" w:rsidR="004A181D" w:rsidRPr="005856D7" w:rsidRDefault="00113C89" w:rsidP="005856D7">
      <w:pPr>
        <w:jc w:val="both"/>
        <w:rPr>
          <w:rFonts w:ascii="Arial" w:hAnsi="Arial" w:cs="Arial"/>
          <w:b/>
          <w:bCs/>
        </w:rPr>
      </w:pPr>
      <w:r>
        <w:rPr>
          <w:rFonts w:ascii="Arial" w:eastAsia="Times New Roman" w:hAnsi="Arial" w:cs="Arial"/>
          <w:color w:val="000000"/>
          <w:lang w:eastAsia="en-CA"/>
        </w:rPr>
        <w:lastRenderedPageBreak/>
        <w:t xml:space="preserve">The CNA conducted another </w:t>
      </w:r>
      <w:r w:rsidR="009A4A8E">
        <w:rPr>
          <w:rFonts w:ascii="Arial" w:eastAsia="Times New Roman" w:hAnsi="Arial" w:cs="Arial"/>
          <w:color w:val="000000"/>
          <w:lang w:eastAsia="en-CA"/>
        </w:rPr>
        <w:t>G-</w:t>
      </w:r>
      <w:r>
        <w:rPr>
          <w:rFonts w:ascii="Arial" w:eastAsia="Times New Roman" w:hAnsi="Arial" w:cs="Arial"/>
          <w:color w:val="000000"/>
          <w:lang w:eastAsia="en-CA"/>
        </w:rPr>
        <w:t xml:space="preserve">NRUF in January 2023 </w:t>
      </w:r>
      <w:r w:rsidR="004D0733">
        <w:rPr>
          <w:rFonts w:ascii="Arial" w:eastAsia="Times New Roman" w:hAnsi="Arial" w:cs="Arial"/>
          <w:color w:val="000000"/>
          <w:lang w:eastAsia="en-CA"/>
        </w:rPr>
        <w:t xml:space="preserve">and </w:t>
      </w:r>
      <w:r w:rsidR="009A4A8E">
        <w:rPr>
          <w:rFonts w:ascii="Arial" w:eastAsia="Times New Roman" w:hAnsi="Arial" w:cs="Arial"/>
          <w:color w:val="000000"/>
          <w:lang w:eastAsia="en-CA"/>
        </w:rPr>
        <w:t xml:space="preserve">a S-NRUF in </w:t>
      </w:r>
      <w:r w:rsidR="004D0733">
        <w:rPr>
          <w:rFonts w:ascii="Arial" w:eastAsia="Times New Roman" w:hAnsi="Arial" w:cs="Arial"/>
          <w:color w:val="000000"/>
          <w:lang w:eastAsia="en-CA"/>
        </w:rPr>
        <w:t xml:space="preserve">July 2023 </w:t>
      </w:r>
      <w:r>
        <w:rPr>
          <w:rFonts w:ascii="Arial" w:eastAsia="Times New Roman" w:hAnsi="Arial" w:cs="Arial"/>
          <w:color w:val="000000"/>
          <w:lang w:eastAsia="en-CA"/>
        </w:rPr>
        <w:t xml:space="preserve">and published </w:t>
      </w:r>
      <w:r w:rsidR="004D0733">
        <w:rPr>
          <w:rFonts w:ascii="Arial" w:eastAsia="Times New Roman" w:hAnsi="Arial" w:cs="Arial"/>
          <w:color w:val="000000"/>
          <w:lang w:eastAsia="en-CA"/>
        </w:rPr>
        <w:t xml:space="preserve">the </w:t>
      </w:r>
      <w:r>
        <w:rPr>
          <w:rFonts w:ascii="Arial" w:eastAsia="Times New Roman" w:hAnsi="Arial" w:cs="Arial"/>
          <w:color w:val="000000"/>
          <w:lang w:eastAsia="en-CA"/>
        </w:rPr>
        <w:t xml:space="preserve">results, which are included in this report. </w:t>
      </w:r>
      <w:r w:rsidR="002710DA">
        <w:rPr>
          <w:rFonts w:ascii="Arial" w:eastAsia="Times New Roman" w:hAnsi="Arial" w:cs="Arial"/>
          <w:color w:val="000000"/>
          <w:lang w:eastAsia="en-CA"/>
        </w:rPr>
        <w:t>The CSCN also requested that the CNA conduct Non-geographic NRUFs of the 6YY resources twice per year.</w:t>
      </w:r>
    </w:p>
    <w:p w14:paraId="040E0458" w14:textId="77777777" w:rsidR="00D920C1" w:rsidRPr="005856D7" w:rsidRDefault="00897ABD" w:rsidP="005856D7">
      <w:pPr>
        <w:jc w:val="both"/>
        <w:rPr>
          <w:rFonts w:ascii="Arial" w:hAnsi="Arial" w:cs="Arial"/>
          <w:b/>
          <w:bCs/>
        </w:rPr>
      </w:pPr>
      <w:r w:rsidRPr="005856D7">
        <w:rPr>
          <w:rFonts w:ascii="Arial" w:hAnsi="Arial" w:cs="Arial"/>
          <w:b/>
          <w:bCs/>
        </w:rPr>
        <w:t>POTENTIAL IMPACTS</w:t>
      </w:r>
      <w:r w:rsidR="00D920C1" w:rsidRPr="005856D7">
        <w:rPr>
          <w:rFonts w:ascii="Arial" w:hAnsi="Arial" w:cs="Arial"/>
          <w:b/>
          <w:bCs/>
        </w:rPr>
        <w:t>:</w:t>
      </w:r>
    </w:p>
    <w:p w14:paraId="28C96216" w14:textId="77777777" w:rsidR="00262139" w:rsidRPr="009D0717" w:rsidRDefault="00262139" w:rsidP="00262139">
      <w:pPr>
        <w:pStyle w:val="ListParagraph"/>
        <w:numPr>
          <w:ilvl w:val="0"/>
          <w:numId w:val="9"/>
        </w:numPr>
        <w:jc w:val="both"/>
        <w:rPr>
          <w:rFonts w:ascii="Arial" w:hAnsi="Arial" w:cs="Arial"/>
          <w:sz w:val="22"/>
          <w:szCs w:val="22"/>
        </w:rPr>
      </w:pPr>
      <w:r>
        <w:rPr>
          <w:rFonts w:ascii="Arial" w:hAnsi="Arial" w:cs="Arial"/>
          <w:sz w:val="22"/>
          <w:szCs w:val="22"/>
        </w:rPr>
        <w:t>Availability of sufficient non-geographic numbers to satisfy demand.</w:t>
      </w:r>
    </w:p>
    <w:p w14:paraId="50C4AFB9" w14:textId="77777777" w:rsidR="00262139" w:rsidRPr="009D0717" w:rsidRDefault="006F49EA" w:rsidP="00262139">
      <w:pPr>
        <w:pStyle w:val="ListParagraph"/>
        <w:numPr>
          <w:ilvl w:val="0"/>
          <w:numId w:val="9"/>
        </w:numPr>
        <w:jc w:val="both"/>
        <w:rPr>
          <w:rFonts w:ascii="Arial" w:hAnsi="Arial"/>
          <w:sz w:val="22"/>
        </w:rPr>
      </w:pPr>
      <w:r w:rsidRPr="002078EC">
        <w:rPr>
          <w:rFonts w:ascii="Arial" w:hAnsi="Arial"/>
          <w:sz w:val="22"/>
          <w:lang w:val="en-CA"/>
        </w:rPr>
        <w:t xml:space="preserve">CRTC-approved </w:t>
      </w:r>
      <w:r w:rsidR="006458AA" w:rsidRPr="002078EC">
        <w:rPr>
          <w:rFonts w:ascii="Arial" w:hAnsi="Arial"/>
          <w:sz w:val="22"/>
          <w:lang w:val="en-CA"/>
        </w:rPr>
        <w:t>g</w:t>
      </w:r>
      <w:r w:rsidR="00D920C1" w:rsidRPr="002078EC">
        <w:rPr>
          <w:rFonts w:ascii="Arial" w:hAnsi="Arial"/>
          <w:sz w:val="22"/>
          <w:lang w:val="en-CA"/>
        </w:rPr>
        <w:t>uidelines associated with NPA and NXX assignment</w:t>
      </w:r>
      <w:r w:rsidR="00113C89" w:rsidRPr="002078EC">
        <w:rPr>
          <w:rFonts w:ascii="Arial" w:hAnsi="Arial"/>
          <w:sz w:val="22"/>
          <w:lang w:val="en-CA"/>
        </w:rPr>
        <w:t>.</w:t>
      </w:r>
    </w:p>
    <w:p w14:paraId="24961BDC" w14:textId="77777777" w:rsidR="00D920C1" w:rsidRPr="002078EC" w:rsidRDefault="00031B30" w:rsidP="005856D7">
      <w:pPr>
        <w:pStyle w:val="ListParagraph"/>
        <w:numPr>
          <w:ilvl w:val="0"/>
          <w:numId w:val="9"/>
        </w:numPr>
        <w:jc w:val="both"/>
        <w:rPr>
          <w:rFonts w:ascii="Arial" w:hAnsi="Arial"/>
          <w:sz w:val="22"/>
          <w:lang w:val="en-CA"/>
        </w:rPr>
      </w:pPr>
      <w:r w:rsidRPr="002078EC">
        <w:rPr>
          <w:rFonts w:ascii="Arial" w:hAnsi="Arial"/>
          <w:sz w:val="22"/>
          <w:lang w:val="en-CA"/>
        </w:rPr>
        <w:t>Internet of Things (IoT)</w:t>
      </w:r>
      <w:r w:rsidR="00E06EAF" w:rsidRPr="002078EC">
        <w:rPr>
          <w:rFonts w:ascii="Arial" w:hAnsi="Arial"/>
          <w:sz w:val="22"/>
          <w:lang w:val="en-CA"/>
        </w:rPr>
        <w:t>/</w:t>
      </w:r>
      <w:r w:rsidR="006F6FBF" w:rsidRPr="002078EC">
        <w:rPr>
          <w:rFonts w:ascii="Arial" w:hAnsi="Arial"/>
          <w:sz w:val="22"/>
          <w:lang w:val="en-CA"/>
        </w:rPr>
        <w:t>Machine to Machine (M</w:t>
      </w:r>
      <w:r w:rsidR="00523AC4" w:rsidRPr="002078EC">
        <w:rPr>
          <w:rFonts w:ascii="Arial" w:hAnsi="Arial"/>
          <w:sz w:val="22"/>
          <w:lang w:val="en-CA"/>
        </w:rPr>
        <w:t>2</w:t>
      </w:r>
      <w:r w:rsidR="006F6FBF" w:rsidRPr="002078EC">
        <w:rPr>
          <w:rFonts w:ascii="Arial" w:hAnsi="Arial"/>
          <w:sz w:val="22"/>
          <w:lang w:val="en-CA"/>
        </w:rPr>
        <w:t xml:space="preserve">M) </w:t>
      </w:r>
      <w:r w:rsidR="00532916" w:rsidRPr="002078EC">
        <w:rPr>
          <w:rFonts w:ascii="Arial" w:hAnsi="Arial"/>
          <w:sz w:val="22"/>
          <w:lang w:val="en-CA"/>
        </w:rPr>
        <w:t xml:space="preserve">network address </w:t>
      </w:r>
      <w:r w:rsidR="00DB2A0F" w:rsidRPr="002078EC">
        <w:rPr>
          <w:rFonts w:ascii="Arial" w:hAnsi="Arial"/>
          <w:sz w:val="22"/>
          <w:lang w:val="en-CA"/>
        </w:rPr>
        <w:t>structures</w:t>
      </w:r>
      <w:r w:rsidR="00113C89" w:rsidRPr="002078EC">
        <w:rPr>
          <w:rFonts w:ascii="Arial" w:hAnsi="Arial"/>
          <w:sz w:val="22"/>
          <w:lang w:val="en-CA"/>
        </w:rPr>
        <w:t>.</w:t>
      </w:r>
    </w:p>
    <w:p w14:paraId="2DB77D9F" w14:textId="77777777" w:rsidR="00D920C1" w:rsidRPr="00DC3D5B" w:rsidRDefault="00D920C1" w:rsidP="005856D7">
      <w:pPr>
        <w:pStyle w:val="ListParagraph"/>
        <w:numPr>
          <w:ilvl w:val="0"/>
          <w:numId w:val="9"/>
        </w:numPr>
        <w:jc w:val="both"/>
        <w:rPr>
          <w:rFonts w:ascii="Arial" w:hAnsi="Arial"/>
          <w:sz w:val="22"/>
          <w:lang w:val="en-CA"/>
        </w:rPr>
      </w:pPr>
      <w:r w:rsidRPr="002078EC">
        <w:rPr>
          <w:rFonts w:ascii="Arial" w:hAnsi="Arial"/>
          <w:sz w:val="22"/>
          <w:lang w:val="en-CA"/>
        </w:rPr>
        <w:t>Consumer impacts</w:t>
      </w:r>
      <w:r w:rsidR="00532916" w:rsidRPr="002078EC">
        <w:rPr>
          <w:rFonts w:ascii="Arial" w:hAnsi="Arial"/>
          <w:sz w:val="22"/>
          <w:lang w:val="en-CA"/>
        </w:rPr>
        <w:t xml:space="preserve"> of expanded </w:t>
      </w:r>
      <w:r w:rsidR="00DB2A0F" w:rsidRPr="002078EC">
        <w:rPr>
          <w:rFonts w:ascii="Arial" w:hAnsi="Arial"/>
          <w:sz w:val="22"/>
          <w:lang w:val="en-CA"/>
        </w:rPr>
        <w:t xml:space="preserve">or different </w:t>
      </w:r>
      <w:r w:rsidR="00532916" w:rsidRPr="002078EC">
        <w:rPr>
          <w:rFonts w:ascii="Arial" w:hAnsi="Arial"/>
          <w:sz w:val="22"/>
          <w:lang w:val="en-CA"/>
        </w:rPr>
        <w:t>network address schemes</w:t>
      </w:r>
      <w:r w:rsidR="00262139">
        <w:rPr>
          <w:rFonts w:ascii="Arial" w:hAnsi="Arial" w:cs="Arial"/>
          <w:sz w:val="22"/>
          <w:szCs w:val="22"/>
        </w:rPr>
        <w:t>.</w:t>
      </w:r>
    </w:p>
    <w:p w14:paraId="735B072A" w14:textId="77777777" w:rsidR="00B568F6" w:rsidRPr="00DC3D5B" w:rsidRDefault="007C46B8" w:rsidP="005856D7">
      <w:pPr>
        <w:pStyle w:val="ListParagraph"/>
        <w:numPr>
          <w:ilvl w:val="0"/>
          <w:numId w:val="9"/>
        </w:numPr>
        <w:jc w:val="both"/>
        <w:rPr>
          <w:rFonts w:ascii="Arial" w:hAnsi="Arial"/>
          <w:sz w:val="22"/>
          <w:lang w:val="en-CA"/>
        </w:rPr>
      </w:pPr>
      <w:r w:rsidRPr="00DC3D5B">
        <w:rPr>
          <w:rFonts w:ascii="Arial" w:hAnsi="Arial"/>
          <w:sz w:val="22"/>
          <w:lang w:val="en-CA"/>
        </w:rPr>
        <w:t>Carrier</w:t>
      </w:r>
      <w:r w:rsidR="00B568F6" w:rsidRPr="00DC3D5B">
        <w:rPr>
          <w:rFonts w:ascii="Arial" w:hAnsi="Arial"/>
          <w:sz w:val="22"/>
          <w:lang w:val="en-CA"/>
        </w:rPr>
        <w:t xml:space="preserve"> infrastructure impacts of expanded network address schemes</w:t>
      </w:r>
      <w:r w:rsidR="00C80CE0" w:rsidRPr="00DC3D5B">
        <w:rPr>
          <w:rFonts w:ascii="Arial" w:hAnsi="Arial"/>
          <w:sz w:val="22"/>
          <w:lang w:val="en-CA"/>
        </w:rPr>
        <w:t xml:space="preserve">, if </w:t>
      </w:r>
      <w:r w:rsidR="004D0733" w:rsidRPr="00DC3D5B">
        <w:rPr>
          <w:rFonts w:ascii="Arial" w:hAnsi="Arial"/>
          <w:sz w:val="22"/>
          <w:lang w:val="en-CA"/>
        </w:rPr>
        <w:t>implemented</w:t>
      </w:r>
      <w:r w:rsidR="00B568F6" w:rsidRPr="00DC3D5B">
        <w:rPr>
          <w:rFonts w:ascii="Arial" w:hAnsi="Arial"/>
          <w:sz w:val="22"/>
          <w:lang w:val="en-CA"/>
        </w:rPr>
        <w:t xml:space="preserve">.  </w:t>
      </w:r>
      <w:r w:rsidRPr="00DC3D5B">
        <w:rPr>
          <w:rFonts w:ascii="Arial" w:hAnsi="Arial"/>
          <w:sz w:val="22"/>
          <w:lang w:val="en-CA"/>
        </w:rPr>
        <w:t>Carrier</w:t>
      </w:r>
      <w:r w:rsidR="006458AA" w:rsidRPr="00DC3D5B">
        <w:rPr>
          <w:rFonts w:ascii="Arial" w:hAnsi="Arial"/>
          <w:sz w:val="22"/>
          <w:lang w:val="en-CA"/>
        </w:rPr>
        <w:t xml:space="preserve"> infrastructure</w:t>
      </w:r>
      <w:r w:rsidR="00B568F6" w:rsidRPr="00DC3D5B">
        <w:rPr>
          <w:rFonts w:ascii="Arial" w:hAnsi="Arial"/>
          <w:sz w:val="22"/>
          <w:lang w:val="en-CA"/>
        </w:rPr>
        <w:t xml:space="preserve"> includes network elements or platforms, </w:t>
      </w:r>
      <w:r w:rsidR="00D41AA9" w:rsidRPr="00DC3D5B">
        <w:rPr>
          <w:rFonts w:ascii="Arial" w:hAnsi="Arial"/>
          <w:sz w:val="22"/>
          <w:lang w:val="en-CA"/>
        </w:rPr>
        <w:t xml:space="preserve">carrier </w:t>
      </w:r>
      <w:r w:rsidR="00B568F6" w:rsidRPr="00DC3D5B">
        <w:rPr>
          <w:rFonts w:ascii="Arial" w:hAnsi="Arial"/>
          <w:sz w:val="22"/>
          <w:lang w:val="en-CA"/>
        </w:rPr>
        <w:t>Operational Support Systems (OSS)</w:t>
      </w:r>
      <w:r w:rsidR="00D41AA9" w:rsidRPr="00DC3D5B">
        <w:rPr>
          <w:rFonts w:ascii="Arial" w:hAnsi="Arial"/>
          <w:sz w:val="22"/>
          <w:lang w:val="en-CA"/>
        </w:rPr>
        <w:t xml:space="preserve">, carrier </w:t>
      </w:r>
      <w:r w:rsidR="00B568F6" w:rsidRPr="00DC3D5B">
        <w:rPr>
          <w:rFonts w:ascii="Arial" w:hAnsi="Arial"/>
          <w:sz w:val="22"/>
          <w:lang w:val="en-CA"/>
        </w:rPr>
        <w:t>Billing Support Systems (BSS)</w:t>
      </w:r>
      <w:r w:rsidR="00D41AA9" w:rsidRPr="00DC3D5B">
        <w:rPr>
          <w:rFonts w:ascii="Arial" w:hAnsi="Arial"/>
          <w:sz w:val="22"/>
          <w:lang w:val="en-CA"/>
        </w:rPr>
        <w:t xml:space="preserve"> and the CNA’s number administration system.</w:t>
      </w:r>
    </w:p>
    <w:p w14:paraId="062EBE43" w14:textId="77777777" w:rsidR="00D920C1" w:rsidRPr="005856D7" w:rsidRDefault="00D920C1" w:rsidP="005856D7">
      <w:pPr>
        <w:jc w:val="both"/>
        <w:rPr>
          <w:rFonts w:ascii="Arial" w:hAnsi="Arial" w:cs="Arial"/>
        </w:rPr>
      </w:pPr>
    </w:p>
    <w:p w14:paraId="4A45C850" w14:textId="77777777" w:rsidR="00D920C1" w:rsidRPr="005856D7" w:rsidRDefault="00D920C1" w:rsidP="005856D7">
      <w:pPr>
        <w:jc w:val="both"/>
        <w:rPr>
          <w:rFonts w:ascii="Arial" w:hAnsi="Arial" w:cs="Arial"/>
        </w:rPr>
      </w:pPr>
      <w:r w:rsidRPr="005856D7">
        <w:rPr>
          <w:rFonts w:ascii="Arial" w:hAnsi="Arial" w:cs="Arial"/>
          <w:b/>
          <w:bCs/>
        </w:rPr>
        <w:t xml:space="preserve">ALTERNATIVES:  </w:t>
      </w:r>
      <w:r w:rsidR="00B568F6" w:rsidRPr="005856D7">
        <w:rPr>
          <w:rFonts w:ascii="Arial" w:hAnsi="Arial" w:cs="Arial"/>
          <w:b/>
          <w:bCs/>
        </w:rPr>
        <w:br/>
      </w:r>
      <w:r w:rsidR="003834A4" w:rsidRPr="005856D7">
        <w:rPr>
          <w:rFonts w:ascii="Arial" w:hAnsi="Arial" w:cs="Arial"/>
        </w:rPr>
        <w:t xml:space="preserve">Many alternatives are considered and analyzed in this report.  </w:t>
      </w:r>
      <w:r w:rsidR="004D0733">
        <w:rPr>
          <w:rFonts w:ascii="Arial" w:hAnsi="Arial" w:cs="Arial"/>
        </w:rPr>
        <w:t xml:space="preserve">The alternatives include those that may be implemented in the near term or long term.  The alternatives make available either a nominal </w:t>
      </w:r>
      <w:r w:rsidR="00AA69F5">
        <w:rPr>
          <w:rFonts w:ascii="Arial" w:hAnsi="Arial" w:cs="Arial"/>
        </w:rPr>
        <w:t>number</w:t>
      </w:r>
      <w:r w:rsidR="004D0733">
        <w:rPr>
          <w:rFonts w:ascii="Arial" w:hAnsi="Arial" w:cs="Arial"/>
        </w:rPr>
        <w:t xml:space="preserve"> of new </w:t>
      </w:r>
      <w:r w:rsidR="009A4A8E">
        <w:rPr>
          <w:rFonts w:ascii="Arial" w:hAnsi="Arial" w:cs="Arial"/>
        </w:rPr>
        <w:t xml:space="preserve">numbering </w:t>
      </w:r>
      <w:r w:rsidR="004D0733">
        <w:rPr>
          <w:rFonts w:ascii="Arial" w:hAnsi="Arial" w:cs="Arial"/>
        </w:rPr>
        <w:t xml:space="preserve">resources or </w:t>
      </w:r>
      <w:r w:rsidR="00C00476">
        <w:rPr>
          <w:rFonts w:ascii="Arial" w:hAnsi="Arial" w:cs="Arial"/>
        </w:rPr>
        <w:t>many</w:t>
      </w:r>
      <w:r w:rsidR="004D0733">
        <w:rPr>
          <w:rFonts w:ascii="Arial" w:hAnsi="Arial" w:cs="Arial"/>
        </w:rPr>
        <w:t xml:space="preserve"> new </w:t>
      </w:r>
      <w:r w:rsidR="009A4A8E">
        <w:rPr>
          <w:rFonts w:ascii="Arial" w:hAnsi="Arial" w:cs="Arial"/>
        </w:rPr>
        <w:t xml:space="preserve">numbering </w:t>
      </w:r>
      <w:r w:rsidR="004D0733">
        <w:rPr>
          <w:rFonts w:ascii="Arial" w:hAnsi="Arial" w:cs="Arial"/>
        </w:rPr>
        <w:t xml:space="preserve">resources. </w:t>
      </w:r>
    </w:p>
    <w:p w14:paraId="722272D6" w14:textId="77777777" w:rsidR="00D920C1" w:rsidRPr="005856D7" w:rsidRDefault="00D920C1" w:rsidP="005856D7">
      <w:pPr>
        <w:jc w:val="both"/>
        <w:rPr>
          <w:rFonts w:ascii="Arial" w:hAnsi="Arial" w:cs="Arial"/>
          <w:b/>
          <w:bCs/>
        </w:rPr>
      </w:pPr>
      <w:r w:rsidRPr="005856D7">
        <w:rPr>
          <w:rFonts w:ascii="Arial" w:hAnsi="Arial" w:cs="Arial"/>
          <w:b/>
          <w:bCs/>
        </w:rPr>
        <w:t>CONCLUSIONS:</w:t>
      </w:r>
    </w:p>
    <w:p w14:paraId="2E9C6A6A" w14:textId="77777777" w:rsidR="00D920C1" w:rsidRPr="005856D7" w:rsidRDefault="00D920C1" w:rsidP="005856D7">
      <w:pPr>
        <w:jc w:val="both"/>
        <w:rPr>
          <w:rFonts w:ascii="Arial" w:hAnsi="Arial" w:cs="Arial"/>
        </w:rPr>
      </w:pPr>
      <w:r w:rsidRPr="005856D7">
        <w:rPr>
          <w:rFonts w:ascii="Arial" w:hAnsi="Arial" w:cs="Arial"/>
        </w:rPr>
        <w:t>The CSCN</w:t>
      </w:r>
      <w:r w:rsidR="0086318C" w:rsidRPr="005856D7">
        <w:rPr>
          <w:rFonts w:ascii="Arial" w:hAnsi="Arial" w:cs="Arial"/>
        </w:rPr>
        <w:t xml:space="preserve"> concludes that </w:t>
      </w:r>
      <w:r w:rsidR="003834A4" w:rsidRPr="005856D7">
        <w:rPr>
          <w:rFonts w:ascii="Arial" w:hAnsi="Arial" w:cs="Arial"/>
        </w:rPr>
        <w:t xml:space="preserve">demand </w:t>
      </w:r>
      <w:r w:rsidR="0086318C" w:rsidRPr="005856D7">
        <w:rPr>
          <w:rFonts w:ascii="Arial" w:hAnsi="Arial" w:cs="Arial"/>
        </w:rPr>
        <w:t>for IoT/M2M is growing at a</w:t>
      </w:r>
      <w:r w:rsidR="009B0AB2">
        <w:rPr>
          <w:rFonts w:ascii="Arial" w:hAnsi="Arial" w:cs="Arial"/>
        </w:rPr>
        <w:t xml:space="preserve"> rate that will </w:t>
      </w:r>
      <w:r w:rsidR="00453D52">
        <w:rPr>
          <w:rFonts w:ascii="Arial" w:hAnsi="Arial" w:cs="Arial"/>
        </w:rPr>
        <w:t xml:space="preserve">quickly </w:t>
      </w:r>
      <w:r w:rsidR="009B0AB2">
        <w:rPr>
          <w:rFonts w:ascii="Arial" w:hAnsi="Arial" w:cs="Arial"/>
        </w:rPr>
        <w:t>exhaust available numbering resources</w:t>
      </w:r>
      <w:r w:rsidR="00CF63FB">
        <w:rPr>
          <w:rFonts w:ascii="Arial" w:hAnsi="Arial" w:cs="Arial"/>
        </w:rPr>
        <w:t xml:space="preserve"> </w:t>
      </w:r>
      <w:r w:rsidR="0086318C" w:rsidRPr="005856D7">
        <w:rPr>
          <w:rFonts w:ascii="Arial" w:hAnsi="Arial" w:cs="Arial"/>
        </w:rPr>
        <w:t xml:space="preserve">and that relief for Non-Geographic </w:t>
      </w:r>
      <w:r w:rsidR="00292304">
        <w:rPr>
          <w:rFonts w:ascii="Arial" w:hAnsi="Arial" w:cs="Arial"/>
        </w:rPr>
        <w:t>NPA</w:t>
      </w:r>
      <w:r w:rsidR="00292304" w:rsidRPr="005856D7">
        <w:rPr>
          <w:rFonts w:ascii="Arial" w:hAnsi="Arial" w:cs="Arial"/>
        </w:rPr>
        <w:t xml:space="preserve">s </w:t>
      </w:r>
      <w:r w:rsidR="009B0AB2">
        <w:rPr>
          <w:rFonts w:ascii="Arial" w:hAnsi="Arial" w:cs="Arial"/>
        </w:rPr>
        <w:t>is required.</w:t>
      </w:r>
      <w:r w:rsidR="004C3541" w:rsidRPr="005856D7">
        <w:rPr>
          <w:rFonts w:ascii="Arial" w:hAnsi="Arial" w:cs="Arial"/>
        </w:rPr>
        <w:t xml:space="preserve"> </w:t>
      </w:r>
    </w:p>
    <w:p w14:paraId="41AB22EC" w14:textId="77777777" w:rsidR="00D920C1" w:rsidRPr="005856D7" w:rsidRDefault="00D920C1" w:rsidP="005856D7">
      <w:pPr>
        <w:jc w:val="both"/>
        <w:rPr>
          <w:rFonts w:ascii="Arial" w:hAnsi="Arial" w:cs="Arial"/>
          <w:b/>
          <w:bCs/>
        </w:rPr>
      </w:pPr>
      <w:r w:rsidRPr="005856D7">
        <w:rPr>
          <w:rFonts w:ascii="Arial" w:hAnsi="Arial" w:cs="Arial"/>
          <w:b/>
          <w:bCs/>
        </w:rPr>
        <w:t>RECOMMENDATIONS:</w:t>
      </w:r>
    </w:p>
    <w:p w14:paraId="5D679D56" w14:textId="77777777" w:rsidR="0086318C" w:rsidRDefault="009B0AB2" w:rsidP="005856D7">
      <w:pPr>
        <w:jc w:val="both"/>
        <w:rPr>
          <w:rFonts w:ascii="Arial" w:hAnsi="Arial" w:cs="Arial"/>
        </w:rPr>
      </w:pPr>
      <w:r>
        <w:rPr>
          <w:rFonts w:ascii="Arial" w:hAnsi="Arial" w:cs="Arial"/>
        </w:rPr>
        <w:t xml:space="preserve">The attached report includes recommendations to prevent the exhaust of currently available numbering resources for non-geographic NPAs for the foreseeable future. </w:t>
      </w:r>
    </w:p>
    <w:p w14:paraId="6B0BD1C5" w14:textId="77777777" w:rsidR="00D920C1" w:rsidRPr="005856D7" w:rsidRDefault="00D920C1" w:rsidP="005856D7">
      <w:pPr>
        <w:jc w:val="both"/>
        <w:rPr>
          <w:rFonts w:ascii="Arial" w:hAnsi="Arial" w:cs="Arial"/>
        </w:rPr>
      </w:pPr>
      <w:r w:rsidRPr="005856D7">
        <w:rPr>
          <w:rFonts w:ascii="Arial" w:hAnsi="Arial" w:cs="Arial"/>
          <w:b/>
          <w:bCs/>
        </w:rPr>
        <w:t>ATTACHMENTS:</w:t>
      </w:r>
    </w:p>
    <w:p w14:paraId="3F7B5120" w14:textId="0072FDCB" w:rsidR="00D920C1" w:rsidRPr="009D0717" w:rsidRDefault="00434402" w:rsidP="005856D7">
      <w:pPr>
        <w:jc w:val="both"/>
        <w:rPr>
          <w:rFonts w:ascii="Arial" w:hAnsi="Arial"/>
          <w:lang w:val="en-US"/>
        </w:rPr>
      </w:pPr>
      <w:r w:rsidRPr="009D0717">
        <w:rPr>
          <w:rFonts w:ascii="Arial" w:hAnsi="Arial"/>
          <w:lang w:val="en-US"/>
        </w:rPr>
        <w:t>TIF 11</w:t>
      </w:r>
      <w:r w:rsidR="002269CB" w:rsidRPr="009D0717">
        <w:rPr>
          <w:rFonts w:ascii="Arial" w:hAnsi="Arial"/>
          <w:lang w:val="en-US"/>
        </w:rPr>
        <w:t>2</w:t>
      </w:r>
      <w:r w:rsidRPr="009D0717">
        <w:rPr>
          <w:rFonts w:ascii="Arial" w:hAnsi="Arial"/>
          <w:lang w:val="en-US"/>
        </w:rPr>
        <w:t xml:space="preserve"> Consensus Report </w:t>
      </w:r>
      <w:r w:rsidR="003A0896" w:rsidRPr="009D0717">
        <w:rPr>
          <w:rFonts w:ascii="Arial" w:hAnsi="Arial"/>
          <w:lang w:val="en-US"/>
        </w:rPr>
        <w:t>CNRE138</w:t>
      </w:r>
      <w:r w:rsidR="003A0896">
        <w:rPr>
          <w:rFonts w:ascii="Arial" w:hAnsi="Arial"/>
          <w:lang w:val="en-US"/>
        </w:rPr>
        <w:t>B</w:t>
      </w:r>
      <w:r w:rsidR="003A0896" w:rsidRPr="009D0717">
        <w:rPr>
          <w:rFonts w:ascii="Arial" w:hAnsi="Arial"/>
          <w:lang w:val="en-US"/>
        </w:rPr>
        <w:t xml:space="preserve"> </w:t>
      </w:r>
      <w:proofErr w:type="gramStart"/>
      <w:r w:rsidR="00865840" w:rsidRPr="00DC3D5B">
        <w:rPr>
          <w:rFonts w:ascii="Arial" w:hAnsi="Arial"/>
          <w:color w:val="000000"/>
          <w:lang w:val="en-US"/>
        </w:rPr>
        <w:t>Non-Geographic</w:t>
      </w:r>
      <w:proofErr w:type="gramEnd"/>
      <w:r w:rsidR="00FC65C7" w:rsidRPr="00DC3D5B">
        <w:rPr>
          <w:rFonts w:ascii="Arial" w:hAnsi="Arial"/>
          <w:color w:val="000000"/>
          <w:lang w:val="en-US"/>
        </w:rPr>
        <w:t xml:space="preserve"> 6YY </w:t>
      </w:r>
      <w:r w:rsidR="00292304" w:rsidRPr="00DC3D5B">
        <w:rPr>
          <w:rFonts w:ascii="Arial" w:hAnsi="Arial"/>
          <w:color w:val="000000"/>
          <w:lang w:val="en-US"/>
        </w:rPr>
        <w:t xml:space="preserve">NPA </w:t>
      </w:r>
      <w:r w:rsidR="00FC65C7" w:rsidRPr="00DC3D5B">
        <w:rPr>
          <w:rFonts w:ascii="Arial" w:hAnsi="Arial"/>
          <w:color w:val="000000"/>
          <w:lang w:val="en-US"/>
        </w:rPr>
        <w:t>Exhaust Mitigation</w:t>
      </w:r>
    </w:p>
    <w:p w14:paraId="3A8458D7" w14:textId="7D92B5D2" w:rsidR="00C67B1B" w:rsidRDefault="00C67B1B">
      <w:pPr>
        <w:rPr>
          <w:rFonts w:ascii="Arial" w:hAnsi="Arial"/>
          <w:sz w:val="28"/>
        </w:rPr>
        <w:sectPr w:rsidR="00C67B1B" w:rsidSect="00E66668">
          <w:headerReference w:type="default" r:id="rId13"/>
          <w:footerReference w:type="default" r:id="rId14"/>
          <w:footerReference w:type="first" r:id="rId15"/>
          <w:pgSz w:w="12240" w:h="15840"/>
          <w:pgMar w:top="1440" w:right="1440" w:bottom="1440" w:left="1440" w:header="708" w:footer="708" w:gutter="0"/>
          <w:pgNumType w:start="1"/>
          <w:cols w:space="708"/>
          <w:titlePg/>
          <w:docGrid w:linePitch="360"/>
        </w:sectPr>
      </w:pPr>
    </w:p>
    <w:p w14:paraId="61FE2162" w14:textId="77777777" w:rsidR="008572E1" w:rsidRPr="00742306" w:rsidRDefault="008572E1" w:rsidP="00DC3D5B">
      <w:pPr>
        <w:spacing w:after="240"/>
        <w:jc w:val="center"/>
        <w:rPr>
          <w:rFonts w:ascii="Arial" w:hAnsi="Arial"/>
          <w:sz w:val="28"/>
          <w:szCs w:val="28"/>
        </w:rPr>
      </w:pPr>
      <w:r w:rsidRPr="00742306">
        <w:rPr>
          <w:rFonts w:ascii="Arial" w:hAnsi="Arial"/>
          <w:sz w:val="28"/>
          <w:szCs w:val="28"/>
        </w:rPr>
        <w:lastRenderedPageBreak/>
        <w:t>Canadian Interconnect</w:t>
      </w:r>
      <w:r w:rsidR="00D920C1">
        <w:rPr>
          <w:rFonts w:ascii="Arial" w:hAnsi="Arial"/>
          <w:sz w:val="28"/>
          <w:szCs w:val="28"/>
        </w:rPr>
        <w:t>ion</w:t>
      </w:r>
      <w:r w:rsidRPr="00742306">
        <w:rPr>
          <w:rFonts w:ascii="Arial" w:hAnsi="Arial"/>
          <w:sz w:val="28"/>
          <w:szCs w:val="28"/>
        </w:rPr>
        <w:t xml:space="preserve"> Steering Committee</w:t>
      </w:r>
      <w:r w:rsidR="007F2398" w:rsidRPr="00742306">
        <w:rPr>
          <w:rFonts w:ascii="Arial" w:hAnsi="Arial"/>
          <w:sz w:val="28"/>
          <w:szCs w:val="28"/>
        </w:rPr>
        <w:t xml:space="preserve"> (CISC)</w:t>
      </w:r>
    </w:p>
    <w:p w14:paraId="38EEE800" w14:textId="77777777" w:rsidR="00046E9C" w:rsidRPr="00742306" w:rsidRDefault="00046E9C" w:rsidP="00DC3D5B">
      <w:pPr>
        <w:spacing w:after="240"/>
        <w:jc w:val="center"/>
        <w:rPr>
          <w:rFonts w:ascii="Arial" w:hAnsi="Arial"/>
          <w:sz w:val="28"/>
          <w:szCs w:val="28"/>
        </w:rPr>
      </w:pPr>
      <w:r w:rsidRPr="00742306">
        <w:rPr>
          <w:rFonts w:ascii="Arial" w:hAnsi="Arial"/>
          <w:sz w:val="28"/>
          <w:szCs w:val="28"/>
        </w:rPr>
        <w:t>Canadian Steering Committee on Numbering</w:t>
      </w:r>
      <w:r w:rsidR="007F2398" w:rsidRPr="00742306">
        <w:rPr>
          <w:rFonts w:ascii="Arial" w:hAnsi="Arial"/>
          <w:sz w:val="28"/>
          <w:szCs w:val="28"/>
        </w:rPr>
        <w:t xml:space="preserve"> (CSCN)</w:t>
      </w:r>
    </w:p>
    <w:p w14:paraId="495C30C8" w14:textId="77777777" w:rsidR="00A802DE" w:rsidRPr="00DC3D5B" w:rsidRDefault="00A802DE" w:rsidP="00DC3D5B">
      <w:pPr>
        <w:spacing w:after="240"/>
        <w:rPr>
          <w:rFonts w:ascii="Arial" w:hAnsi="Arial"/>
          <w:sz w:val="40"/>
        </w:rPr>
      </w:pPr>
    </w:p>
    <w:p w14:paraId="00802E19" w14:textId="587D8076" w:rsidR="00622782" w:rsidRPr="00DC3D5B" w:rsidRDefault="007F2398" w:rsidP="00DC3D5B">
      <w:pPr>
        <w:spacing w:after="240"/>
        <w:jc w:val="center"/>
        <w:rPr>
          <w:rFonts w:ascii="Arial" w:hAnsi="Arial"/>
          <w:sz w:val="40"/>
        </w:rPr>
      </w:pPr>
      <w:bookmarkStart w:id="0" w:name="_Hlk106776368"/>
      <w:r w:rsidRPr="00DC3D5B">
        <w:rPr>
          <w:rFonts w:ascii="Arial" w:hAnsi="Arial"/>
          <w:sz w:val="40"/>
        </w:rPr>
        <w:t>TIF 11</w:t>
      </w:r>
      <w:r w:rsidR="0018722E" w:rsidRPr="00DC3D5B">
        <w:rPr>
          <w:rFonts w:ascii="Arial" w:hAnsi="Arial"/>
          <w:sz w:val="40"/>
        </w:rPr>
        <w:t>2</w:t>
      </w:r>
      <w:r w:rsidRPr="00DC3D5B">
        <w:rPr>
          <w:rFonts w:ascii="Arial" w:hAnsi="Arial"/>
          <w:sz w:val="40"/>
        </w:rPr>
        <w:t xml:space="preserve"> </w:t>
      </w:r>
      <w:r w:rsidR="00E7150D" w:rsidRPr="00DC3D5B">
        <w:rPr>
          <w:rFonts w:ascii="Arial" w:hAnsi="Arial"/>
          <w:sz w:val="40"/>
        </w:rPr>
        <w:t>C</w:t>
      </w:r>
      <w:r w:rsidR="00046E9C" w:rsidRPr="00DC3D5B">
        <w:rPr>
          <w:rFonts w:ascii="Arial" w:hAnsi="Arial"/>
          <w:sz w:val="40"/>
        </w:rPr>
        <w:t xml:space="preserve">onsensus </w:t>
      </w:r>
      <w:r w:rsidR="00DC758D" w:rsidRPr="00DC3D5B">
        <w:rPr>
          <w:rFonts w:ascii="Arial" w:hAnsi="Arial"/>
          <w:sz w:val="40"/>
        </w:rPr>
        <w:t xml:space="preserve">Report </w:t>
      </w:r>
      <w:r w:rsidR="003A0896" w:rsidRPr="009D0717">
        <w:rPr>
          <w:rFonts w:ascii="Arial" w:hAnsi="Arial"/>
          <w:b/>
          <w:sz w:val="40"/>
          <w:szCs w:val="40"/>
        </w:rPr>
        <w:t>CNRE138</w:t>
      </w:r>
      <w:r w:rsidR="003A0896">
        <w:rPr>
          <w:rFonts w:ascii="Arial" w:hAnsi="Arial"/>
          <w:b/>
          <w:sz w:val="40"/>
          <w:szCs w:val="40"/>
        </w:rPr>
        <w:t>B</w:t>
      </w:r>
    </w:p>
    <w:bookmarkEnd w:id="0"/>
    <w:p w14:paraId="37969F29" w14:textId="77777777" w:rsidR="00DC758D" w:rsidRPr="00DC3D5B" w:rsidRDefault="007956C5" w:rsidP="00DC758D">
      <w:pPr>
        <w:jc w:val="center"/>
        <w:rPr>
          <w:rFonts w:ascii="Arial" w:hAnsi="Arial"/>
          <w:sz w:val="40"/>
        </w:rPr>
      </w:pPr>
      <w:r w:rsidRPr="00DC3D5B">
        <w:rPr>
          <w:rFonts w:ascii="Arial" w:hAnsi="Arial"/>
          <w:sz w:val="40"/>
        </w:rPr>
        <w:t xml:space="preserve">Non-Geographic </w:t>
      </w:r>
      <w:r w:rsidR="0018722E" w:rsidRPr="00DC3D5B">
        <w:rPr>
          <w:rFonts w:ascii="Arial" w:hAnsi="Arial"/>
          <w:sz w:val="40"/>
        </w:rPr>
        <w:t>6YY</w:t>
      </w:r>
      <w:r w:rsidR="00FC65C7" w:rsidRPr="00DC3D5B">
        <w:rPr>
          <w:rFonts w:ascii="Arial" w:hAnsi="Arial"/>
          <w:sz w:val="40"/>
        </w:rPr>
        <w:t xml:space="preserve"> </w:t>
      </w:r>
      <w:r w:rsidR="005D394A" w:rsidRPr="00DC3D5B">
        <w:rPr>
          <w:rFonts w:ascii="Arial" w:hAnsi="Arial"/>
          <w:sz w:val="40"/>
        </w:rPr>
        <w:t xml:space="preserve">NPA </w:t>
      </w:r>
      <w:r w:rsidR="00B611A1" w:rsidRPr="00DC3D5B">
        <w:rPr>
          <w:rFonts w:ascii="Arial" w:hAnsi="Arial"/>
          <w:sz w:val="40"/>
        </w:rPr>
        <w:t>Exhaust Mitigation</w:t>
      </w:r>
    </w:p>
    <w:p w14:paraId="2864BB84" w14:textId="77777777" w:rsidR="00AE3CAE" w:rsidRPr="00DC3D5B" w:rsidRDefault="00A17776" w:rsidP="004E7184">
      <w:pPr>
        <w:jc w:val="both"/>
      </w:pPr>
      <w:r w:rsidRPr="00DC3D5B">
        <w:t xml:space="preserve"> </w:t>
      </w:r>
    </w:p>
    <w:p w14:paraId="355AA5F9" w14:textId="745E003A" w:rsidR="00A802DE" w:rsidRDefault="00FA3B51" w:rsidP="00E40CFE">
      <w:pPr>
        <w:jc w:val="center"/>
      </w:pPr>
      <w:r>
        <w:rPr>
          <w:noProof/>
          <w:lang w:val="en-US"/>
        </w:rPr>
        <w:drawing>
          <wp:inline distT="0" distB="0" distL="0" distR="0" wp14:anchorId="28E06A72" wp14:editId="44604E1D">
            <wp:extent cx="5943600" cy="4142740"/>
            <wp:effectExtent l="0" t="0" r="0" b="10160"/>
            <wp:docPr id="3" name="Chart 3">
              <a:extLst xmlns:a="http://schemas.openxmlformats.org/drawingml/2006/main">
                <a:ext uri="{FF2B5EF4-FFF2-40B4-BE49-F238E27FC236}">
                  <a16:creationId xmlns:a16="http://schemas.microsoft.com/office/drawing/2014/main" id="{5B5DC7C1-1B2F-424C-8B22-71EBDF9E62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3BA475" w14:textId="0FAA5DC1" w:rsidR="00A802DE" w:rsidRDefault="00A802DE" w:rsidP="00E40CFE">
      <w:pPr>
        <w:jc w:val="center"/>
      </w:pPr>
    </w:p>
    <w:p w14:paraId="15DB5C74" w14:textId="77777777" w:rsidR="00A802DE" w:rsidRDefault="00A802DE" w:rsidP="00E40CFE">
      <w:pPr>
        <w:jc w:val="center"/>
        <w:sectPr w:rsidR="00A802DE" w:rsidSect="00E66668">
          <w:headerReference w:type="first" r:id="rId17"/>
          <w:pgSz w:w="12240" w:h="15840"/>
          <w:pgMar w:top="1440" w:right="1440" w:bottom="1440" w:left="1440" w:header="708" w:footer="708" w:gutter="0"/>
          <w:pgNumType w:start="1"/>
          <w:cols w:space="708"/>
          <w:titlePg/>
          <w:docGrid w:linePitch="360"/>
        </w:sectPr>
      </w:pPr>
    </w:p>
    <w:bookmarkStart w:id="1" w:name="_Toc101788455" w:displacedByCustomXml="next"/>
    <w:sdt>
      <w:sdtPr>
        <w:rPr>
          <w:rFonts w:asciiTheme="minorHAnsi" w:eastAsiaTheme="minorHAnsi" w:hAnsiTheme="minorHAnsi" w:cstheme="minorBidi"/>
          <w:color w:val="auto"/>
          <w:sz w:val="22"/>
          <w:szCs w:val="22"/>
          <w:lang w:val="en-CA"/>
        </w:rPr>
        <w:id w:val="-459348454"/>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lang w:val="en-CA"/>
            </w:rPr>
            <w:id w:val="1144547420"/>
            <w:docPartObj>
              <w:docPartGallery w:val="Table of Contents"/>
              <w:docPartUnique/>
            </w:docPartObj>
          </w:sdtPr>
          <w:sdtContent>
            <w:p w14:paraId="6668208E" w14:textId="68A4ED81" w:rsidR="00765BFB" w:rsidRPr="00DC3D5B" w:rsidRDefault="00765BFB" w:rsidP="00BF3BFA">
              <w:pPr>
                <w:pStyle w:val="TOCHeading"/>
                <w:numPr>
                  <w:ilvl w:val="0"/>
                  <w:numId w:val="0"/>
                </w:numPr>
                <w:ind w:left="432"/>
                <w:rPr>
                  <w:lang w:val="en-CA"/>
                </w:rPr>
              </w:pPr>
              <w:r w:rsidRPr="00DC3D5B">
                <w:rPr>
                  <w:lang w:val="en-CA"/>
                </w:rPr>
                <w:t>Contents</w:t>
              </w:r>
            </w:p>
            <w:p w14:paraId="78D17E05" w14:textId="2C32D304" w:rsidR="00765BFB" w:rsidRDefault="00000000" w:rsidP="00F00180">
              <w:pPr>
                <w:pStyle w:val="TOC1"/>
              </w:pPr>
            </w:p>
          </w:sdtContent>
        </w:sdt>
        <w:p w14:paraId="0519D41D" w14:textId="3002C7A3" w:rsidR="00E34EFD" w:rsidRDefault="00765BFB">
          <w:pPr>
            <w:pStyle w:val="TOC1"/>
            <w:rPr>
              <w:rFonts w:eastAsiaTheme="minorEastAsia"/>
              <w:noProof/>
              <w:kern w:val="2"/>
              <w:sz w:val="24"/>
              <w:szCs w:val="24"/>
              <w:lang w:val="en-US"/>
              <w14:ligatures w14:val="standardContextual"/>
            </w:rPr>
          </w:pPr>
          <w:r>
            <w:fldChar w:fldCharType="begin"/>
          </w:r>
          <w:r>
            <w:instrText xml:space="preserve"> TOC \o "1-3" \h \z \u </w:instrText>
          </w:r>
          <w:r>
            <w:fldChar w:fldCharType="separate"/>
          </w:r>
          <w:hyperlink w:anchor="_Toc162946382" w:history="1">
            <w:r w:rsidR="00E34EFD" w:rsidRPr="00023C4A">
              <w:rPr>
                <w:rStyle w:val="Hyperlink"/>
                <w:rFonts w:ascii="Arial" w:hAnsi="Arial"/>
                <w:noProof/>
              </w:rPr>
              <w:t>1.</w:t>
            </w:r>
            <w:r w:rsidR="00E34EFD">
              <w:rPr>
                <w:rFonts w:eastAsiaTheme="minorEastAsia"/>
                <w:noProof/>
                <w:kern w:val="2"/>
                <w:sz w:val="24"/>
                <w:szCs w:val="24"/>
                <w:lang w:val="en-US"/>
                <w14:ligatures w14:val="standardContextual"/>
              </w:rPr>
              <w:tab/>
            </w:r>
            <w:r w:rsidR="00E34EFD" w:rsidRPr="00023C4A">
              <w:rPr>
                <w:rStyle w:val="Hyperlink"/>
                <w:rFonts w:ascii="Arial" w:hAnsi="Arial"/>
                <w:noProof/>
              </w:rPr>
              <w:t>Scope</w:t>
            </w:r>
            <w:r w:rsidR="00E34EFD">
              <w:rPr>
                <w:noProof/>
                <w:webHidden/>
              </w:rPr>
              <w:tab/>
            </w:r>
            <w:r w:rsidR="00E34EFD">
              <w:rPr>
                <w:noProof/>
                <w:webHidden/>
              </w:rPr>
              <w:fldChar w:fldCharType="begin"/>
            </w:r>
            <w:r w:rsidR="00E34EFD">
              <w:rPr>
                <w:noProof/>
                <w:webHidden/>
              </w:rPr>
              <w:instrText xml:space="preserve"> PAGEREF _Toc162946382 \h </w:instrText>
            </w:r>
            <w:r w:rsidR="00E34EFD">
              <w:rPr>
                <w:noProof/>
                <w:webHidden/>
              </w:rPr>
            </w:r>
            <w:r w:rsidR="00E34EFD">
              <w:rPr>
                <w:noProof/>
                <w:webHidden/>
              </w:rPr>
              <w:fldChar w:fldCharType="separate"/>
            </w:r>
            <w:r w:rsidR="00E34EFD">
              <w:rPr>
                <w:noProof/>
                <w:webHidden/>
              </w:rPr>
              <w:t>5</w:t>
            </w:r>
            <w:r w:rsidR="00E34EFD">
              <w:rPr>
                <w:noProof/>
                <w:webHidden/>
              </w:rPr>
              <w:fldChar w:fldCharType="end"/>
            </w:r>
          </w:hyperlink>
        </w:p>
        <w:p w14:paraId="4AEB1A47" w14:textId="1C342511" w:rsidR="00E34EFD" w:rsidRDefault="00E34EFD">
          <w:pPr>
            <w:pStyle w:val="TOC1"/>
            <w:rPr>
              <w:rFonts w:eastAsiaTheme="minorEastAsia"/>
              <w:noProof/>
              <w:kern w:val="2"/>
              <w:sz w:val="24"/>
              <w:szCs w:val="24"/>
              <w:lang w:val="en-US"/>
              <w14:ligatures w14:val="standardContextual"/>
            </w:rPr>
          </w:pPr>
          <w:hyperlink w:anchor="_Toc162946383" w:history="1">
            <w:r w:rsidRPr="00023C4A">
              <w:rPr>
                <w:rStyle w:val="Hyperlink"/>
                <w:rFonts w:ascii="Arial" w:hAnsi="Arial"/>
                <w:noProof/>
              </w:rPr>
              <w:t>2.</w:t>
            </w:r>
            <w:r>
              <w:rPr>
                <w:rFonts w:eastAsiaTheme="minorEastAsia"/>
                <w:noProof/>
                <w:kern w:val="2"/>
                <w:sz w:val="24"/>
                <w:szCs w:val="24"/>
                <w:lang w:val="en-US"/>
                <w14:ligatures w14:val="standardContextual"/>
              </w:rPr>
              <w:tab/>
            </w:r>
            <w:r w:rsidRPr="00023C4A">
              <w:rPr>
                <w:rStyle w:val="Hyperlink"/>
                <w:rFonts w:ascii="Arial" w:hAnsi="Arial"/>
                <w:noProof/>
              </w:rPr>
              <w:t>Background</w:t>
            </w:r>
            <w:r>
              <w:rPr>
                <w:noProof/>
                <w:webHidden/>
              </w:rPr>
              <w:tab/>
            </w:r>
            <w:r>
              <w:rPr>
                <w:noProof/>
                <w:webHidden/>
              </w:rPr>
              <w:fldChar w:fldCharType="begin"/>
            </w:r>
            <w:r>
              <w:rPr>
                <w:noProof/>
                <w:webHidden/>
              </w:rPr>
              <w:instrText xml:space="preserve"> PAGEREF _Toc162946383 \h </w:instrText>
            </w:r>
            <w:r>
              <w:rPr>
                <w:noProof/>
                <w:webHidden/>
              </w:rPr>
            </w:r>
            <w:r>
              <w:rPr>
                <w:noProof/>
                <w:webHidden/>
              </w:rPr>
              <w:fldChar w:fldCharType="separate"/>
            </w:r>
            <w:r>
              <w:rPr>
                <w:noProof/>
                <w:webHidden/>
              </w:rPr>
              <w:t>5</w:t>
            </w:r>
            <w:r>
              <w:rPr>
                <w:noProof/>
                <w:webHidden/>
              </w:rPr>
              <w:fldChar w:fldCharType="end"/>
            </w:r>
          </w:hyperlink>
        </w:p>
        <w:p w14:paraId="385BE30B" w14:textId="0F8B66EC" w:rsidR="00E34EFD" w:rsidRDefault="00E34EFD">
          <w:pPr>
            <w:pStyle w:val="TOC1"/>
            <w:tabs>
              <w:tab w:val="left" w:pos="960"/>
            </w:tabs>
            <w:rPr>
              <w:rFonts w:eastAsiaTheme="minorEastAsia"/>
              <w:noProof/>
              <w:kern w:val="2"/>
              <w:sz w:val="24"/>
              <w:szCs w:val="24"/>
              <w:lang w:val="en-US"/>
              <w14:ligatures w14:val="standardContextual"/>
            </w:rPr>
          </w:pPr>
          <w:hyperlink w:anchor="_Toc162946384" w:history="1">
            <w:r w:rsidRPr="00023C4A">
              <w:rPr>
                <w:rStyle w:val="Hyperlink"/>
                <w:rFonts w:ascii="Arial" w:hAnsi="Arial"/>
                <w:noProof/>
              </w:rPr>
              <w:t>2.1.</w:t>
            </w:r>
            <w:r>
              <w:rPr>
                <w:rFonts w:eastAsiaTheme="minorEastAsia"/>
                <w:noProof/>
                <w:kern w:val="2"/>
                <w:sz w:val="24"/>
                <w:szCs w:val="24"/>
                <w:lang w:val="en-US"/>
                <w14:ligatures w14:val="standardContextual"/>
              </w:rPr>
              <w:tab/>
            </w:r>
            <w:r w:rsidRPr="00023C4A">
              <w:rPr>
                <w:rStyle w:val="Hyperlink"/>
                <w:rFonts w:ascii="Arial" w:hAnsi="Arial"/>
                <w:noProof/>
              </w:rPr>
              <w:t>North American Numbering Plan (NANP)</w:t>
            </w:r>
            <w:r>
              <w:rPr>
                <w:noProof/>
                <w:webHidden/>
              </w:rPr>
              <w:tab/>
            </w:r>
            <w:r>
              <w:rPr>
                <w:noProof/>
                <w:webHidden/>
              </w:rPr>
              <w:fldChar w:fldCharType="begin"/>
            </w:r>
            <w:r>
              <w:rPr>
                <w:noProof/>
                <w:webHidden/>
              </w:rPr>
              <w:instrText xml:space="preserve"> PAGEREF _Toc162946384 \h </w:instrText>
            </w:r>
            <w:r>
              <w:rPr>
                <w:noProof/>
                <w:webHidden/>
              </w:rPr>
            </w:r>
            <w:r>
              <w:rPr>
                <w:noProof/>
                <w:webHidden/>
              </w:rPr>
              <w:fldChar w:fldCharType="separate"/>
            </w:r>
            <w:r>
              <w:rPr>
                <w:noProof/>
                <w:webHidden/>
              </w:rPr>
              <w:t>5</w:t>
            </w:r>
            <w:r>
              <w:rPr>
                <w:noProof/>
                <w:webHidden/>
              </w:rPr>
              <w:fldChar w:fldCharType="end"/>
            </w:r>
          </w:hyperlink>
        </w:p>
        <w:p w14:paraId="38220140" w14:textId="7F791AFB" w:rsidR="00E34EFD" w:rsidRDefault="00E34EFD">
          <w:pPr>
            <w:pStyle w:val="TOC1"/>
            <w:tabs>
              <w:tab w:val="left" w:pos="960"/>
            </w:tabs>
            <w:rPr>
              <w:rFonts w:eastAsiaTheme="minorEastAsia"/>
              <w:noProof/>
              <w:kern w:val="2"/>
              <w:sz w:val="24"/>
              <w:szCs w:val="24"/>
              <w:lang w:val="en-US"/>
              <w14:ligatures w14:val="standardContextual"/>
            </w:rPr>
          </w:pPr>
          <w:hyperlink w:anchor="_Toc162946385" w:history="1">
            <w:r w:rsidRPr="00023C4A">
              <w:rPr>
                <w:rStyle w:val="Hyperlink"/>
                <w:rFonts w:ascii="Arial" w:hAnsi="Arial"/>
                <w:noProof/>
              </w:rPr>
              <w:t>2.2.</w:t>
            </w:r>
            <w:r>
              <w:rPr>
                <w:rFonts w:eastAsiaTheme="minorEastAsia"/>
                <w:noProof/>
                <w:kern w:val="2"/>
                <w:sz w:val="24"/>
                <w:szCs w:val="24"/>
                <w:lang w:val="en-US"/>
                <w14:ligatures w14:val="standardContextual"/>
              </w:rPr>
              <w:tab/>
            </w:r>
            <w:r w:rsidRPr="00023C4A">
              <w:rPr>
                <w:rStyle w:val="Hyperlink"/>
                <w:rFonts w:ascii="Arial" w:hAnsi="Arial" w:cs="Arial"/>
                <w:noProof/>
              </w:rPr>
              <w:t>Canadian Numbering Plan and Dialling Plan</w:t>
            </w:r>
            <w:r>
              <w:rPr>
                <w:noProof/>
                <w:webHidden/>
              </w:rPr>
              <w:tab/>
            </w:r>
            <w:r>
              <w:rPr>
                <w:noProof/>
                <w:webHidden/>
              </w:rPr>
              <w:fldChar w:fldCharType="begin"/>
            </w:r>
            <w:r>
              <w:rPr>
                <w:noProof/>
                <w:webHidden/>
              </w:rPr>
              <w:instrText xml:space="preserve"> PAGEREF _Toc162946385 \h </w:instrText>
            </w:r>
            <w:r>
              <w:rPr>
                <w:noProof/>
                <w:webHidden/>
              </w:rPr>
            </w:r>
            <w:r>
              <w:rPr>
                <w:noProof/>
                <w:webHidden/>
              </w:rPr>
              <w:fldChar w:fldCharType="separate"/>
            </w:r>
            <w:r>
              <w:rPr>
                <w:noProof/>
                <w:webHidden/>
              </w:rPr>
              <w:t>6</w:t>
            </w:r>
            <w:r>
              <w:rPr>
                <w:noProof/>
                <w:webHidden/>
              </w:rPr>
              <w:fldChar w:fldCharType="end"/>
            </w:r>
          </w:hyperlink>
        </w:p>
        <w:p w14:paraId="0B96CF71" w14:textId="125733C3" w:rsidR="00E34EFD" w:rsidRDefault="00E34EFD">
          <w:pPr>
            <w:pStyle w:val="TOC1"/>
            <w:tabs>
              <w:tab w:val="left" w:pos="960"/>
            </w:tabs>
            <w:rPr>
              <w:rFonts w:eastAsiaTheme="minorEastAsia"/>
              <w:noProof/>
              <w:kern w:val="2"/>
              <w:sz w:val="24"/>
              <w:szCs w:val="24"/>
              <w:lang w:val="en-US"/>
              <w14:ligatures w14:val="standardContextual"/>
            </w:rPr>
          </w:pPr>
          <w:hyperlink w:anchor="_Toc162946386" w:history="1">
            <w:r w:rsidRPr="00023C4A">
              <w:rPr>
                <w:rStyle w:val="Hyperlink"/>
                <w:rFonts w:ascii="Arial" w:hAnsi="Arial"/>
                <w:noProof/>
              </w:rPr>
              <w:t>2.3.</w:t>
            </w:r>
            <w:r>
              <w:rPr>
                <w:rFonts w:eastAsiaTheme="minorEastAsia"/>
                <w:noProof/>
                <w:kern w:val="2"/>
                <w:sz w:val="24"/>
                <w:szCs w:val="24"/>
                <w:lang w:val="en-US"/>
                <w14:ligatures w14:val="standardContextual"/>
              </w:rPr>
              <w:tab/>
            </w:r>
            <w:r w:rsidRPr="00023C4A">
              <w:rPr>
                <w:rStyle w:val="Hyperlink"/>
                <w:rFonts w:ascii="Arial" w:hAnsi="Arial"/>
                <w:noProof/>
              </w:rPr>
              <w:t>Numbering Resource Utilization Forecast (NRUF)</w:t>
            </w:r>
            <w:r>
              <w:rPr>
                <w:noProof/>
                <w:webHidden/>
              </w:rPr>
              <w:tab/>
            </w:r>
            <w:r>
              <w:rPr>
                <w:noProof/>
                <w:webHidden/>
              </w:rPr>
              <w:fldChar w:fldCharType="begin"/>
            </w:r>
            <w:r>
              <w:rPr>
                <w:noProof/>
                <w:webHidden/>
              </w:rPr>
              <w:instrText xml:space="preserve"> PAGEREF _Toc162946386 \h </w:instrText>
            </w:r>
            <w:r>
              <w:rPr>
                <w:noProof/>
                <w:webHidden/>
              </w:rPr>
            </w:r>
            <w:r>
              <w:rPr>
                <w:noProof/>
                <w:webHidden/>
              </w:rPr>
              <w:fldChar w:fldCharType="separate"/>
            </w:r>
            <w:r>
              <w:rPr>
                <w:noProof/>
                <w:webHidden/>
              </w:rPr>
              <w:t>6</w:t>
            </w:r>
            <w:r>
              <w:rPr>
                <w:noProof/>
                <w:webHidden/>
              </w:rPr>
              <w:fldChar w:fldCharType="end"/>
            </w:r>
          </w:hyperlink>
        </w:p>
        <w:p w14:paraId="33A0D7B3" w14:textId="26D74890" w:rsidR="00E34EFD" w:rsidRDefault="00E34EFD">
          <w:pPr>
            <w:pStyle w:val="TOC1"/>
            <w:tabs>
              <w:tab w:val="left" w:pos="960"/>
            </w:tabs>
            <w:rPr>
              <w:rFonts w:eastAsiaTheme="minorEastAsia"/>
              <w:noProof/>
              <w:kern w:val="2"/>
              <w:sz w:val="24"/>
              <w:szCs w:val="24"/>
              <w:lang w:val="en-US"/>
              <w14:ligatures w14:val="standardContextual"/>
            </w:rPr>
          </w:pPr>
          <w:hyperlink w:anchor="_Toc162946387" w:history="1">
            <w:r w:rsidRPr="00023C4A">
              <w:rPr>
                <w:rStyle w:val="Hyperlink"/>
                <w:rFonts w:ascii="Arial" w:hAnsi="Arial"/>
                <w:noProof/>
              </w:rPr>
              <w:t>2.4.</w:t>
            </w:r>
            <w:r>
              <w:rPr>
                <w:rFonts w:eastAsiaTheme="minorEastAsia"/>
                <w:noProof/>
                <w:kern w:val="2"/>
                <w:sz w:val="24"/>
                <w:szCs w:val="24"/>
                <w:lang w:val="en-US"/>
                <w14:ligatures w14:val="standardContextual"/>
              </w:rPr>
              <w:tab/>
            </w:r>
            <w:r w:rsidRPr="00023C4A">
              <w:rPr>
                <w:rStyle w:val="Hyperlink"/>
                <w:rFonts w:ascii="Arial" w:hAnsi="Arial"/>
                <w:noProof/>
              </w:rPr>
              <w:t>North American Numbering Plan Expansion</w:t>
            </w:r>
            <w:r>
              <w:rPr>
                <w:noProof/>
                <w:webHidden/>
              </w:rPr>
              <w:tab/>
            </w:r>
            <w:r>
              <w:rPr>
                <w:noProof/>
                <w:webHidden/>
              </w:rPr>
              <w:fldChar w:fldCharType="begin"/>
            </w:r>
            <w:r>
              <w:rPr>
                <w:noProof/>
                <w:webHidden/>
              </w:rPr>
              <w:instrText xml:space="preserve"> PAGEREF _Toc162946387 \h </w:instrText>
            </w:r>
            <w:r>
              <w:rPr>
                <w:noProof/>
                <w:webHidden/>
              </w:rPr>
            </w:r>
            <w:r>
              <w:rPr>
                <w:noProof/>
                <w:webHidden/>
              </w:rPr>
              <w:fldChar w:fldCharType="separate"/>
            </w:r>
            <w:r>
              <w:rPr>
                <w:noProof/>
                <w:webHidden/>
              </w:rPr>
              <w:t>7</w:t>
            </w:r>
            <w:r>
              <w:rPr>
                <w:noProof/>
                <w:webHidden/>
              </w:rPr>
              <w:fldChar w:fldCharType="end"/>
            </w:r>
          </w:hyperlink>
        </w:p>
        <w:p w14:paraId="3C7FC9F7" w14:textId="3229DBEB" w:rsidR="00E34EFD" w:rsidRDefault="00E34EFD">
          <w:pPr>
            <w:pStyle w:val="TOC1"/>
            <w:rPr>
              <w:rFonts w:eastAsiaTheme="minorEastAsia"/>
              <w:noProof/>
              <w:kern w:val="2"/>
              <w:sz w:val="24"/>
              <w:szCs w:val="24"/>
              <w:lang w:val="en-US"/>
              <w14:ligatures w14:val="standardContextual"/>
            </w:rPr>
          </w:pPr>
          <w:hyperlink w:anchor="_Toc162946388" w:history="1">
            <w:r w:rsidRPr="00023C4A">
              <w:rPr>
                <w:rStyle w:val="Hyperlink"/>
                <w:rFonts w:ascii="Arial" w:hAnsi="Arial"/>
                <w:noProof/>
              </w:rPr>
              <w:t>3.</w:t>
            </w:r>
            <w:r>
              <w:rPr>
                <w:rFonts w:eastAsiaTheme="minorEastAsia"/>
                <w:noProof/>
                <w:kern w:val="2"/>
                <w:sz w:val="24"/>
                <w:szCs w:val="24"/>
                <w:lang w:val="en-US"/>
                <w14:ligatures w14:val="standardContextual"/>
              </w:rPr>
              <w:tab/>
            </w:r>
            <w:r w:rsidRPr="00023C4A">
              <w:rPr>
                <w:rStyle w:val="Hyperlink"/>
                <w:rFonts w:ascii="Arial" w:hAnsi="Arial"/>
                <w:noProof/>
              </w:rPr>
              <w:t>Introduction</w:t>
            </w:r>
            <w:r>
              <w:rPr>
                <w:noProof/>
                <w:webHidden/>
              </w:rPr>
              <w:tab/>
            </w:r>
            <w:r>
              <w:rPr>
                <w:noProof/>
                <w:webHidden/>
              </w:rPr>
              <w:fldChar w:fldCharType="begin"/>
            </w:r>
            <w:r>
              <w:rPr>
                <w:noProof/>
                <w:webHidden/>
              </w:rPr>
              <w:instrText xml:space="preserve"> PAGEREF _Toc162946388 \h </w:instrText>
            </w:r>
            <w:r>
              <w:rPr>
                <w:noProof/>
                <w:webHidden/>
              </w:rPr>
            </w:r>
            <w:r>
              <w:rPr>
                <w:noProof/>
                <w:webHidden/>
              </w:rPr>
              <w:fldChar w:fldCharType="separate"/>
            </w:r>
            <w:r>
              <w:rPr>
                <w:noProof/>
                <w:webHidden/>
              </w:rPr>
              <w:t>8</w:t>
            </w:r>
            <w:r>
              <w:rPr>
                <w:noProof/>
                <w:webHidden/>
              </w:rPr>
              <w:fldChar w:fldCharType="end"/>
            </w:r>
          </w:hyperlink>
        </w:p>
        <w:p w14:paraId="0D73DDB4" w14:textId="7AF73553" w:rsidR="00E34EFD" w:rsidRDefault="00E34EFD">
          <w:pPr>
            <w:pStyle w:val="TOC1"/>
            <w:tabs>
              <w:tab w:val="left" w:pos="960"/>
            </w:tabs>
            <w:rPr>
              <w:rFonts w:eastAsiaTheme="minorEastAsia"/>
              <w:noProof/>
              <w:kern w:val="2"/>
              <w:sz w:val="24"/>
              <w:szCs w:val="24"/>
              <w:lang w:val="en-US"/>
              <w14:ligatures w14:val="standardContextual"/>
            </w:rPr>
          </w:pPr>
          <w:hyperlink w:anchor="_Toc162946389" w:history="1">
            <w:r w:rsidRPr="00023C4A">
              <w:rPr>
                <w:rStyle w:val="Hyperlink"/>
                <w:rFonts w:ascii="Arial" w:hAnsi="Arial"/>
                <w:noProof/>
              </w:rPr>
              <w:t>3.1.</w:t>
            </w:r>
            <w:r>
              <w:rPr>
                <w:rFonts w:eastAsiaTheme="minorEastAsia"/>
                <w:noProof/>
                <w:kern w:val="2"/>
                <w:sz w:val="24"/>
                <w:szCs w:val="24"/>
                <w:lang w:val="en-US"/>
                <w14:ligatures w14:val="standardContextual"/>
              </w:rPr>
              <w:tab/>
            </w:r>
            <w:r w:rsidRPr="00023C4A">
              <w:rPr>
                <w:rStyle w:val="Hyperlink"/>
                <w:rFonts w:ascii="Arial" w:hAnsi="Arial"/>
                <w:noProof/>
              </w:rPr>
              <w:t>Internet of Things (IoT) / Machine to Machine (M2M)</w:t>
            </w:r>
            <w:r>
              <w:rPr>
                <w:noProof/>
                <w:webHidden/>
              </w:rPr>
              <w:tab/>
            </w:r>
            <w:r>
              <w:rPr>
                <w:noProof/>
                <w:webHidden/>
              </w:rPr>
              <w:fldChar w:fldCharType="begin"/>
            </w:r>
            <w:r>
              <w:rPr>
                <w:noProof/>
                <w:webHidden/>
              </w:rPr>
              <w:instrText xml:space="preserve"> PAGEREF _Toc162946389 \h </w:instrText>
            </w:r>
            <w:r>
              <w:rPr>
                <w:noProof/>
                <w:webHidden/>
              </w:rPr>
            </w:r>
            <w:r>
              <w:rPr>
                <w:noProof/>
                <w:webHidden/>
              </w:rPr>
              <w:fldChar w:fldCharType="separate"/>
            </w:r>
            <w:r>
              <w:rPr>
                <w:noProof/>
                <w:webHidden/>
              </w:rPr>
              <w:t>8</w:t>
            </w:r>
            <w:r>
              <w:rPr>
                <w:noProof/>
                <w:webHidden/>
              </w:rPr>
              <w:fldChar w:fldCharType="end"/>
            </w:r>
          </w:hyperlink>
        </w:p>
        <w:p w14:paraId="310CF51E" w14:textId="35586FA8" w:rsidR="00E34EFD" w:rsidRDefault="00E34EFD">
          <w:pPr>
            <w:pStyle w:val="TOC1"/>
            <w:tabs>
              <w:tab w:val="left" w:pos="960"/>
            </w:tabs>
            <w:rPr>
              <w:rFonts w:eastAsiaTheme="minorEastAsia"/>
              <w:noProof/>
              <w:kern w:val="2"/>
              <w:sz w:val="24"/>
              <w:szCs w:val="24"/>
              <w:lang w:val="en-US"/>
              <w14:ligatures w14:val="standardContextual"/>
            </w:rPr>
          </w:pPr>
          <w:hyperlink w:anchor="_Toc162946390" w:history="1">
            <w:r w:rsidRPr="00023C4A">
              <w:rPr>
                <w:rStyle w:val="Hyperlink"/>
                <w:rFonts w:ascii="Arial" w:hAnsi="Arial"/>
                <w:noProof/>
              </w:rPr>
              <w:t>3.2.</w:t>
            </w:r>
            <w:r>
              <w:rPr>
                <w:rFonts w:eastAsiaTheme="minorEastAsia"/>
                <w:noProof/>
                <w:kern w:val="2"/>
                <w:sz w:val="24"/>
                <w:szCs w:val="24"/>
                <w:lang w:val="en-US"/>
                <w14:ligatures w14:val="standardContextual"/>
              </w:rPr>
              <w:tab/>
            </w:r>
            <w:r w:rsidRPr="00023C4A">
              <w:rPr>
                <w:rStyle w:val="Hyperlink"/>
                <w:rFonts w:ascii="Arial" w:hAnsi="Arial"/>
                <w:noProof/>
              </w:rPr>
              <w:t>Non-Geographic Telephone Numbers</w:t>
            </w:r>
            <w:r>
              <w:rPr>
                <w:noProof/>
                <w:webHidden/>
              </w:rPr>
              <w:tab/>
            </w:r>
            <w:r>
              <w:rPr>
                <w:noProof/>
                <w:webHidden/>
              </w:rPr>
              <w:fldChar w:fldCharType="begin"/>
            </w:r>
            <w:r>
              <w:rPr>
                <w:noProof/>
                <w:webHidden/>
              </w:rPr>
              <w:instrText xml:space="preserve"> PAGEREF _Toc162946390 \h </w:instrText>
            </w:r>
            <w:r>
              <w:rPr>
                <w:noProof/>
                <w:webHidden/>
              </w:rPr>
            </w:r>
            <w:r>
              <w:rPr>
                <w:noProof/>
                <w:webHidden/>
              </w:rPr>
              <w:fldChar w:fldCharType="separate"/>
            </w:r>
            <w:r>
              <w:rPr>
                <w:noProof/>
                <w:webHidden/>
              </w:rPr>
              <w:t>8</w:t>
            </w:r>
            <w:r>
              <w:rPr>
                <w:noProof/>
                <w:webHidden/>
              </w:rPr>
              <w:fldChar w:fldCharType="end"/>
            </w:r>
          </w:hyperlink>
        </w:p>
        <w:p w14:paraId="5924589D" w14:textId="307FEB11" w:rsidR="00E34EFD" w:rsidRDefault="00E34EFD">
          <w:pPr>
            <w:pStyle w:val="TOC1"/>
            <w:tabs>
              <w:tab w:val="left" w:pos="960"/>
            </w:tabs>
            <w:rPr>
              <w:rFonts w:eastAsiaTheme="minorEastAsia"/>
              <w:noProof/>
              <w:kern w:val="2"/>
              <w:sz w:val="24"/>
              <w:szCs w:val="24"/>
              <w:lang w:val="en-US"/>
              <w14:ligatures w14:val="standardContextual"/>
            </w:rPr>
          </w:pPr>
          <w:hyperlink w:anchor="_Toc162946391" w:history="1">
            <w:r w:rsidRPr="00023C4A">
              <w:rPr>
                <w:rStyle w:val="Hyperlink"/>
                <w:rFonts w:ascii="Arial" w:hAnsi="Arial"/>
                <w:noProof/>
              </w:rPr>
              <w:t>3.3.</w:t>
            </w:r>
            <w:r>
              <w:rPr>
                <w:rFonts w:eastAsiaTheme="minorEastAsia"/>
                <w:noProof/>
                <w:kern w:val="2"/>
                <w:sz w:val="24"/>
                <w:szCs w:val="24"/>
                <w:lang w:val="en-US"/>
                <w14:ligatures w14:val="standardContextual"/>
              </w:rPr>
              <w:tab/>
            </w:r>
            <w:r w:rsidRPr="00023C4A">
              <w:rPr>
                <w:rStyle w:val="Hyperlink"/>
                <w:rFonts w:ascii="Arial" w:hAnsi="Arial"/>
                <w:noProof/>
              </w:rPr>
              <w:t>IoT/M2M Numbers and Network Platforms</w:t>
            </w:r>
            <w:r>
              <w:rPr>
                <w:noProof/>
                <w:webHidden/>
              </w:rPr>
              <w:tab/>
            </w:r>
            <w:r>
              <w:rPr>
                <w:noProof/>
                <w:webHidden/>
              </w:rPr>
              <w:fldChar w:fldCharType="begin"/>
            </w:r>
            <w:r>
              <w:rPr>
                <w:noProof/>
                <w:webHidden/>
              </w:rPr>
              <w:instrText xml:space="preserve"> PAGEREF _Toc162946391 \h </w:instrText>
            </w:r>
            <w:r>
              <w:rPr>
                <w:noProof/>
                <w:webHidden/>
              </w:rPr>
            </w:r>
            <w:r>
              <w:rPr>
                <w:noProof/>
                <w:webHidden/>
              </w:rPr>
              <w:fldChar w:fldCharType="separate"/>
            </w:r>
            <w:r>
              <w:rPr>
                <w:noProof/>
                <w:webHidden/>
              </w:rPr>
              <w:t>9</w:t>
            </w:r>
            <w:r>
              <w:rPr>
                <w:noProof/>
                <w:webHidden/>
              </w:rPr>
              <w:fldChar w:fldCharType="end"/>
            </w:r>
          </w:hyperlink>
        </w:p>
        <w:p w14:paraId="62685B45" w14:textId="5CE87B82" w:rsidR="00E34EFD" w:rsidRDefault="00E34EFD">
          <w:pPr>
            <w:pStyle w:val="TOC1"/>
            <w:tabs>
              <w:tab w:val="left" w:pos="960"/>
            </w:tabs>
            <w:rPr>
              <w:rFonts w:eastAsiaTheme="minorEastAsia"/>
              <w:noProof/>
              <w:kern w:val="2"/>
              <w:sz w:val="24"/>
              <w:szCs w:val="24"/>
              <w:lang w:val="en-US"/>
              <w14:ligatures w14:val="standardContextual"/>
            </w:rPr>
          </w:pPr>
          <w:hyperlink w:anchor="_Toc162946392" w:history="1">
            <w:r w:rsidRPr="00023C4A">
              <w:rPr>
                <w:rStyle w:val="Hyperlink"/>
                <w:rFonts w:ascii="Arial" w:hAnsi="Arial"/>
                <w:noProof/>
              </w:rPr>
              <w:t>3.4.</w:t>
            </w:r>
            <w:r>
              <w:rPr>
                <w:rFonts w:eastAsiaTheme="minorEastAsia"/>
                <w:noProof/>
                <w:kern w:val="2"/>
                <w:sz w:val="24"/>
                <w:szCs w:val="24"/>
                <w:lang w:val="en-US"/>
                <w14:ligatures w14:val="standardContextual"/>
              </w:rPr>
              <w:tab/>
            </w:r>
            <w:r w:rsidRPr="00023C4A">
              <w:rPr>
                <w:rStyle w:val="Hyperlink"/>
                <w:rFonts w:ascii="Arial" w:hAnsi="Arial"/>
                <w:noProof/>
              </w:rPr>
              <w:t>IoT/M2M use of Alternative Addressing methods</w:t>
            </w:r>
            <w:r>
              <w:rPr>
                <w:noProof/>
                <w:webHidden/>
              </w:rPr>
              <w:tab/>
            </w:r>
            <w:r>
              <w:rPr>
                <w:noProof/>
                <w:webHidden/>
              </w:rPr>
              <w:fldChar w:fldCharType="begin"/>
            </w:r>
            <w:r>
              <w:rPr>
                <w:noProof/>
                <w:webHidden/>
              </w:rPr>
              <w:instrText xml:space="preserve"> PAGEREF _Toc162946392 \h </w:instrText>
            </w:r>
            <w:r>
              <w:rPr>
                <w:noProof/>
                <w:webHidden/>
              </w:rPr>
            </w:r>
            <w:r>
              <w:rPr>
                <w:noProof/>
                <w:webHidden/>
              </w:rPr>
              <w:fldChar w:fldCharType="separate"/>
            </w:r>
            <w:r>
              <w:rPr>
                <w:noProof/>
                <w:webHidden/>
              </w:rPr>
              <w:t>9</w:t>
            </w:r>
            <w:r>
              <w:rPr>
                <w:noProof/>
                <w:webHidden/>
              </w:rPr>
              <w:fldChar w:fldCharType="end"/>
            </w:r>
          </w:hyperlink>
        </w:p>
        <w:p w14:paraId="588256E8" w14:textId="305532B1" w:rsidR="00E34EFD" w:rsidRDefault="00E34EFD">
          <w:pPr>
            <w:pStyle w:val="TOC1"/>
            <w:tabs>
              <w:tab w:val="left" w:pos="960"/>
            </w:tabs>
            <w:rPr>
              <w:rFonts w:eastAsiaTheme="minorEastAsia"/>
              <w:noProof/>
              <w:kern w:val="2"/>
              <w:sz w:val="24"/>
              <w:szCs w:val="24"/>
              <w:lang w:val="en-US"/>
              <w14:ligatures w14:val="standardContextual"/>
            </w:rPr>
          </w:pPr>
          <w:hyperlink w:anchor="_Toc162946393" w:history="1">
            <w:r w:rsidRPr="00023C4A">
              <w:rPr>
                <w:rStyle w:val="Hyperlink"/>
                <w:rFonts w:ascii="Arial" w:hAnsi="Arial"/>
                <w:noProof/>
              </w:rPr>
              <w:t>3.5.</w:t>
            </w:r>
            <w:r>
              <w:rPr>
                <w:rFonts w:eastAsiaTheme="minorEastAsia"/>
                <w:noProof/>
                <w:kern w:val="2"/>
                <w:sz w:val="24"/>
                <w:szCs w:val="24"/>
                <w:lang w:val="en-US"/>
                <w14:ligatures w14:val="standardContextual"/>
              </w:rPr>
              <w:tab/>
            </w:r>
            <w:r w:rsidRPr="00023C4A">
              <w:rPr>
                <w:rStyle w:val="Hyperlink"/>
                <w:rFonts w:ascii="Arial" w:hAnsi="Arial"/>
                <w:noProof/>
              </w:rPr>
              <w:t>2022 and 2023 6YY NPA NRUF</w:t>
            </w:r>
            <w:r>
              <w:rPr>
                <w:noProof/>
                <w:webHidden/>
              </w:rPr>
              <w:tab/>
            </w:r>
            <w:r>
              <w:rPr>
                <w:noProof/>
                <w:webHidden/>
              </w:rPr>
              <w:fldChar w:fldCharType="begin"/>
            </w:r>
            <w:r>
              <w:rPr>
                <w:noProof/>
                <w:webHidden/>
              </w:rPr>
              <w:instrText xml:space="preserve"> PAGEREF _Toc162946393 \h </w:instrText>
            </w:r>
            <w:r>
              <w:rPr>
                <w:noProof/>
                <w:webHidden/>
              </w:rPr>
            </w:r>
            <w:r>
              <w:rPr>
                <w:noProof/>
                <w:webHidden/>
              </w:rPr>
              <w:fldChar w:fldCharType="separate"/>
            </w:r>
            <w:r>
              <w:rPr>
                <w:noProof/>
                <w:webHidden/>
              </w:rPr>
              <w:t>10</w:t>
            </w:r>
            <w:r>
              <w:rPr>
                <w:noProof/>
                <w:webHidden/>
              </w:rPr>
              <w:fldChar w:fldCharType="end"/>
            </w:r>
          </w:hyperlink>
        </w:p>
        <w:p w14:paraId="1B4CF141" w14:textId="3C58DF59" w:rsidR="00E34EFD" w:rsidRDefault="00E34EFD">
          <w:pPr>
            <w:pStyle w:val="TOC1"/>
            <w:rPr>
              <w:rFonts w:eastAsiaTheme="minorEastAsia"/>
              <w:noProof/>
              <w:kern w:val="2"/>
              <w:sz w:val="24"/>
              <w:szCs w:val="24"/>
              <w:lang w:val="en-US"/>
              <w14:ligatures w14:val="standardContextual"/>
            </w:rPr>
          </w:pPr>
          <w:hyperlink w:anchor="_Toc162946394" w:history="1">
            <w:r w:rsidRPr="00023C4A">
              <w:rPr>
                <w:rStyle w:val="Hyperlink"/>
                <w:rFonts w:ascii="Arial" w:hAnsi="Arial"/>
                <w:noProof/>
              </w:rPr>
              <w:t>4.</w:t>
            </w:r>
            <w:r>
              <w:rPr>
                <w:rFonts w:eastAsiaTheme="minorEastAsia"/>
                <w:noProof/>
                <w:kern w:val="2"/>
                <w:sz w:val="24"/>
                <w:szCs w:val="24"/>
                <w:lang w:val="en-US"/>
                <w14:ligatures w14:val="standardContextual"/>
              </w:rPr>
              <w:tab/>
            </w:r>
            <w:r w:rsidRPr="00023C4A">
              <w:rPr>
                <w:rStyle w:val="Hyperlink"/>
                <w:rFonts w:ascii="Arial" w:hAnsi="Arial"/>
                <w:noProof/>
              </w:rPr>
              <w:t>Potential 6YY Exhaust Deferral Methods</w:t>
            </w:r>
            <w:r>
              <w:rPr>
                <w:noProof/>
                <w:webHidden/>
              </w:rPr>
              <w:tab/>
            </w:r>
            <w:r>
              <w:rPr>
                <w:noProof/>
                <w:webHidden/>
              </w:rPr>
              <w:fldChar w:fldCharType="begin"/>
            </w:r>
            <w:r>
              <w:rPr>
                <w:noProof/>
                <w:webHidden/>
              </w:rPr>
              <w:instrText xml:space="preserve"> PAGEREF _Toc162946394 \h </w:instrText>
            </w:r>
            <w:r>
              <w:rPr>
                <w:noProof/>
                <w:webHidden/>
              </w:rPr>
            </w:r>
            <w:r>
              <w:rPr>
                <w:noProof/>
                <w:webHidden/>
              </w:rPr>
              <w:fldChar w:fldCharType="separate"/>
            </w:r>
            <w:r>
              <w:rPr>
                <w:noProof/>
                <w:webHidden/>
              </w:rPr>
              <w:t>11</w:t>
            </w:r>
            <w:r>
              <w:rPr>
                <w:noProof/>
                <w:webHidden/>
              </w:rPr>
              <w:fldChar w:fldCharType="end"/>
            </w:r>
          </w:hyperlink>
        </w:p>
        <w:p w14:paraId="71CFFE76" w14:textId="4A0B445D" w:rsidR="00E34EFD" w:rsidRDefault="00E34EFD">
          <w:pPr>
            <w:pStyle w:val="TOC1"/>
            <w:tabs>
              <w:tab w:val="left" w:pos="960"/>
            </w:tabs>
            <w:rPr>
              <w:rFonts w:eastAsiaTheme="minorEastAsia"/>
              <w:noProof/>
              <w:kern w:val="2"/>
              <w:sz w:val="24"/>
              <w:szCs w:val="24"/>
              <w:lang w:val="en-US"/>
              <w14:ligatures w14:val="standardContextual"/>
            </w:rPr>
          </w:pPr>
          <w:hyperlink w:anchor="_Toc162946395" w:history="1">
            <w:r w:rsidRPr="00023C4A">
              <w:rPr>
                <w:rStyle w:val="Hyperlink"/>
                <w:rFonts w:ascii="Arial" w:hAnsi="Arial"/>
                <w:noProof/>
              </w:rPr>
              <w:t>4.1.</w:t>
            </w:r>
            <w:r>
              <w:rPr>
                <w:rFonts w:eastAsiaTheme="minorEastAsia"/>
                <w:noProof/>
                <w:kern w:val="2"/>
                <w:sz w:val="24"/>
                <w:szCs w:val="24"/>
                <w:lang w:val="en-US"/>
                <w14:ligatures w14:val="standardContextual"/>
              </w:rPr>
              <w:tab/>
            </w:r>
            <w:r w:rsidRPr="00023C4A">
              <w:rPr>
                <w:rStyle w:val="Hyperlink"/>
                <w:rFonts w:ascii="Arial" w:hAnsi="Arial"/>
                <w:noProof/>
              </w:rPr>
              <w:t>Option 1: Obtain Additional Non-Geographic NPAs</w:t>
            </w:r>
            <w:r>
              <w:rPr>
                <w:noProof/>
                <w:webHidden/>
              </w:rPr>
              <w:tab/>
            </w:r>
            <w:r>
              <w:rPr>
                <w:noProof/>
                <w:webHidden/>
              </w:rPr>
              <w:fldChar w:fldCharType="begin"/>
            </w:r>
            <w:r>
              <w:rPr>
                <w:noProof/>
                <w:webHidden/>
              </w:rPr>
              <w:instrText xml:space="preserve"> PAGEREF _Toc162946395 \h </w:instrText>
            </w:r>
            <w:r>
              <w:rPr>
                <w:noProof/>
                <w:webHidden/>
              </w:rPr>
            </w:r>
            <w:r>
              <w:rPr>
                <w:noProof/>
                <w:webHidden/>
              </w:rPr>
              <w:fldChar w:fldCharType="separate"/>
            </w:r>
            <w:r>
              <w:rPr>
                <w:noProof/>
                <w:webHidden/>
              </w:rPr>
              <w:t>12</w:t>
            </w:r>
            <w:r>
              <w:rPr>
                <w:noProof/>
                <w:webHidden/>
              </w:rPr>
              <w:fldChar w:fldCharType="end"/>
            </w:r>
          </w:hyperlink>
        </w:p>
        <w:p w14:paraId="5361E961" w14:textId="1380B022" w:rsidR="00E34EFD" w:rsidRDefault="00E34EFD">
          <w:pPr>
            <w:pStyle w:val="TOC1"/>
            <w:tabs>
              <w:tab w:val="left" w:pos="960"/>
            </w:tabs>
            <w:rPr>
              <w:rFonts w:eastAsiaTheme="minorEastAsia"/>
              <w:noProof/>
              <w:kern w:val="2"/>
              <w:sz w:val="24"/>
              <w:szCs w:val="24"/>
              <w:lang w:val="en-US"/>
              <w14:ligatures w14:val="standardContextual"/>
            </w:rPr>
          </w:pPr>
          <w:hyperlink w:anchor="_Toc162946396" w:history="1">
            <w:r w:rsidRPr="00023C4A">
              <w:rPr>
                <w:rStyle w:val="Hyperlink"/>
                <w:rFonts w:ascii="Arial" w:hAnsi="Arial"/>
                <w:noProof/>
              </w:rPr>
              <w:t>4.2.</w:t>
            </w:r>
            <w:r>
              <w:rPr>
                <w:rFonts w:eastAsiaTheme="minorEastAsia"/>
                <w:noProof/>
                <w:kern w:val="2"/>
                <w:sz w:val="24"/>
                <w:szCs w:val="24"/>
                <w:lang w:val="en-US"/>
                <w14:ligatures w14:val="standardContextual"/>
              </w:rPr>
              <w:tab/>
            </w:r>
            <w:r w:rsidRPr="00023C4A">
              <w:rPr>
                <w:rStyle w:val="Hyperlink"/>
                <w:rFonts w:ascii="Arial" w:hAnsi="Arial"/>
                <w:noProof/>
              </w:rPr>
              <w:t>Option 2: Utilize NPA 010</w:t>
            </w:r>
            <w:r>
              <w:rPr>
                <w:noProof/>
                <w:webHidden/>
              </w:rPr>
              <w:tab/>
            </w:r>
            <w:r>
              <w:rPr>
                <w:noProof/>
                <w:webHidden/>
              </w:rPr>
              <w:fldChar w:fldCharType="begin"/>
            </w:r>
            <w:r>
              <w:rPr>
                <w:noProof/>
                <w:webHidden/>
              </w:rPr>
              <w:instrText xml:space="preserve"> PAGEREF _Toc162946396 \h </w:instrText>
            </w:r>
            <w:r>
              <w:rPr>
                <w:noProof/>
                <w:webHidden/>
              </w:rPr>
            </w:r>
            <w:r>
              <w:rPr>
                <w:noProof/>
                <w:webHidden/>
              </w:rPr>
              <w:fldChar w:fldCharType="separate"/>
            </w:r>
            <w:r>
              <w:rPr>
                <w:noProof/>
                <w:webHidden/>
              </w:rPr>
              <w:t>12</w:t>
            </w:r>
            <w:r>
              <w:rPr>
                <w:noProof/>
                <w:webHidden/>
              </w:rPr>
              <w:fldChar w:fldCharType="end"/>
            </w:r>
          </w:hyperlink>
        </w:p>
        <w:p w14:paraId="6E431975" w14:textId="77A3A87E" w:rsidR="00E34EFD" w:rsidRDefault="00E34EFD">
          <w:pPr>
            <w:pStyle w:val="TOC1"/>
            <w:tabs>
              <w:tab w:val="left" w:pos="960"/>
            </w:tabs>
            <w:rPr>
              <w:rFonts w:eastAsiaTheme="minorEastAsia"/>
              <w:noProof/>
              <w:kern w:val="2"/>
              <w:sz w:val="24"/>
              <w:szCs w:val="24"/>
              <w:lang w:val="en-US"/>
              <w14:ligatures w14:val="standardContextual"/>
            </w:rPr>
          </w:pPr>
          <w:hyperlink w:anchor="_Toc162946397" w:history="1">
            <w:r w:rsidRPr="00023C4A">
              <w:rPr>
                <w:rStyle w:val="Hyperlink"/>
                <w:rFonts w:ascii="Arial" w:hAnsi="Arial"/>
                <w:noProof/>
              </w:rPr>
              <w:t>4.3.</w:t>
            </w:r>
            <w:r>
              <w:rPr>
                <w:rFonts w:eastAsiaTheme="minorEastAsia"/>
                <w:noProof/>
                <w:kern w:val="2"/>
                <w:sz w:val="24"/>
                <w:szCs w:val="24"/>
                <w:lang w:val="en-US"/>
                <w14:ligatures w14:val="standardContextual"/>
              </w:rPr>
              <w:tab/>
            </w:r>
            <w:r w:rsidRPr="00023C4A">
              <w:rPr>
                <w:rStyle w:val="Hyperlink"/>
                <w:rFonts w:ascii="Arial" w:hAnsi="Arial"/>
                <w:noProof/>
              </w:rPr>
              <w:t>Option 3: Utilize Alternative Addressing Formats</w:t>
            </w:r>
            <w:r>
              <w:rPr>
                <w:noProof/>
                <w:webHidden/>
              </w:rPr>
              <w:tab/>
            </w:r>
            <w:r>
              <w:rPr>
                <w:noProof/>
                <w:webHidden/>
              </w:rPr>
              <w:fldChar w:fldCharType="begin"/>
            </w:r>
            <w:r>
              <w:rPr>
                <w:noProof/>
                <w:webHidden/>
              </w:rPr>
              <w:instrText xml:space="preserve"> PAGEREF _Toc162946397 \h </w:instrText>
            </w:r>
            <w:r>
              <w:rPr>
                <w:noProof/>
                <w:webHidden/>
              </w:rPr>
            </w:r>
            <w:r>
              <w:rPr>
                <w:noProof/>
                <w:webHidden/>
              </w:rPr>
              <w:fldChar w:fldCharType="separate"/>
            </w:r>
            <w:r>
              <w:rPr>
                <w:noProof/>
                <w:webHidden/>
              </w:rPr>
              <w:t>13</w:t>
            </w:r>
            <w:r>
              <w:rPr>
                <w:noProof/>
                <w:webHidden/>
              </w:rPr>
              <w:fldChar w:fldCharType="end"/>
            </w:r>
          </w:hyperlink>
        </w:p>
        <w:p w14:paraId="1F349AF0" w14:textId="1D6AB5A4" w:rsidR="00E34EFD" w:rsidRDefault="00E34EFD">
          <w:pPr>
            <w:pStyle w:val="TOC1"/>
            <w:tabs>
              <w:tab w:val="left" w:pos="960"/>
            </w:tabs>
            <w:rPr>
              <w:rFonts w:eastAsiaTheme="minorEastAsia"/>
              <w:noProof/>
              <w:kern w:val="2"/>
              <w:sz w:val="24"/>
              <w:szCs w:val="24"/>
              <w:lang w:val="en-US"/>
              <w14:ligatures w14:val="standardContextual"/>
            </w:rPr>
          </w:pPr>
          <w:hyperlink w:anchor="_Toc162946398" w:history="1">
            <w:r w:rsidRPr="00023C4A">
              <w:rPr>
                <w:rStyle w:val="Hyperlink"/>
                <w:rFonts w:ascii="Arial" w:hAnsi="Arial"/>
                <w:noProof/>
              </w:rPr>
              <w:t>4.4.</w:t>
            </w:r>
            <w:r>
              <w:rPr>
                <w:rFonts w:eastAsiaTheme="minorEastAsia"/>
                <w:noProof/>
                <w:kern w:val="2"/>
                <w:sz w:val="24"/>
                <w:szCs w:val="24"/>
                <w:lang w:val="en-US"/>
                <w14:ligatures w14:val="standardContextual"/>
              </w:rPr>
              <w:tab/>
            </w:r>
            <w:r w:rsidRPr="00023C4A">
              <w:rPr>
                <w:rStyle w:val="Hyperlink"/>
                <w:rFonts w:ascii="Arial" w:hAnsi="Arial"/>
                <w:noProof/>
              </w:rPr>
              <w:t>Option 4: Partition NPA 600</w:t>
            </w:r>
            <w:r>
              <w:rPr>
                <w:noProof/>
                <w:webHidden/>
              </w:rPr>
              <w:tab/>
            </w:r>
            <w:r>
              <w:rPr>
                <w:noProof/>
                <w:webHidden/>
              </w:rPr>
              <w:fldChar w:fldCharType="begin"/>
            </w:r>
            <w:r>
              <w:rPr>
                <w:noProof/>
                <w:webHidden/>
              </w:rPr>
              <w:instrText xml:space="preserve"> PAGEREF _Toc162946398 \h </w:instrText>
            </w:r>
            <w:r>
              <w:rPr>
                <w:noProof/>
                <w:webHidden/>
              </w:rPr>
            </w:r>
            <w:r>
              <w:rPr>
                <w:noProof/>
                <w:webHidden/>
              </w:rPr>
              <w:fldChar w:fldCharType="separate"/>
            </w:r>
            <w:r>
              <w:rPr>
                <w:noProof/>
                <w:webHidden/>
              </w:rPr>
              <w:t>13</w:t>
            </w:r>
            <w:r>
              <w:rPr>
                <w:noProof/>
                <w:webHidden/>
              </w:rPr>
              <w:fldChar w:fldCharType="end"/>
            </w:r>
          </w:hyperlink>
        </w:p>
        <w:p w14:paraId="40289F5C" w14:textId="7A110989" w:rsidR="00E34EFD" w:rsidRDefault="00E34EFD">
          <w:pPr>
            <w:pStyle w:val="TOC1"/>
            <w:tabs>
              <w:tab w:val="left" w:pos="960"/>
            </w:tabs>
            <w:rPr>
              <w:rFonts w:eastAsiaTheme="minorEastAsia"/>
              <w:noProof/>
              <w:kern w:val="2"/>
              <w:sz w:val="24"/>
              <w:szCs w:val="24"/>
              <w:lang w:val="en-US"/>
              <w14:ligatures w14:val="standardContextual"/>
            </w:rPr>
          </w:pPr>
          <w:hyperlink w:anchor="_Toc162946399" w:history="1">
            <w:r w:rsidRPr="00023C4A">
              <w:rPr>
                <w:rStyle w:val="Hyperlink"/>
                <w:rFonts w:ascii="Arial" w:hAnsi="Arial"/>
                <w:noProof/>
              </w:rPr>
              <w:t>4.5.</w:t>
            </w:r>
            <w:r>
              <w:rPr>
                <w:rFonts w:eastAsiaTheme="minorEastAsia"/>
                <w:noProof/>
                <w:kern w:val="2"/>
                <w:sz w:val="24"/>
                <w:szCs w:val="24"/>
                <w:lang w:val="en-US"/>
                <w14:ligatures w14:val="standardContextual"/>
              </w:rPr>
              <w:tab/>
            </w:r>
            <w:r w:rsidRPr="00023C4A">
              <w:rPr>
                <w:rStyle w:val="Hyperlink"/>
                <w:rFonts w:ascii="Arial" w:hAnsi="Arial"/>
                <w:noProof/>
              </w:rPr>
              <w:t>Option 5:  Remove N11 and 555 NXX Restrictions in 6YY NPAs</w:t>
            </w:r>
            <w:r>
              <w:rPr>
                <w:noProof/>
                <w:webHidden/>
              </w:rPr>
              <w:tab/>
            </w:r>
            <w:r>
              <w:rPr>
                <w:noProof/>
                <w:webHidden/>
              </w:rPr>
              <w:fldChar w:fldCharType="begin"/>
            </w:r>
            <w:r>
              <w:rPr>
                <w:noProof/>
                <w:webHidden/>
              </w:rPr>
              <w:instrText xml:space="preserve"> PAGEREF _Toc162946399 \h </w:instrText>
            </w:r>
            <w:r>
              <w:rPr>
                <w:noProof/>
                <w:webHidden/>
              </w:rPr>
            </w:r>
            <w:r>
              <w:rPr>
                <w:noProof/>
                <w:webHidden/>
              </w:rPr>
              <w:fldChar w:fldCharType="separate"/>
            </w:r>
            <w:r>
              <w:rPr>
                <w:noProof/>
                <w:webHidden/>
              </w:rPr>
              <w:t>14</w:t>
            </w:r>
            <w:r>
              <w:rPr>
                <w:noProof/>
                <w:webHidden/>
              </w:rPr>
              <w:fldChar w:fldCharType="end"/>
            </w:r>
          </w:hyperlink>
        </w:p>
        <w:p w14:paraId="717672C5" w14:textId="42E58073" w:rsidR="00E34EFD" w:rsidRDefault="00E34EFD">
          <w:pPr>
            <w:pStyle w:val="TOC1"/>
            <w:tabs>
              <w:tab w:val="left" w:pos="960"/>
            </w:tabs>
            <w:rPr>
              <w:rFonts w:eastAsiaTheme="minorEastAsia"/>
              <w:noProof/>
              <w:kern w:val="2"/>
              <w:sz w:val="24"/>
              <w:szCs w:val="24"/>
              <w:lang w:val="en-US"/>
              <w14:ligatures w14:val="standardContextual"/>
            </w:rPr>
          </w:pPr>
          <w:hyperlink w:anchor="_Toc162946400" w:history="1">
            <w:r w:rsidRPr="00023C4A">
              <w:rPr>
                <w:rStyle w:val="Hyperlink"/>
                <w:rFonts w:ascii="Arial" w:hAnsi="Arial" w:cs="Arial"/>
                <w:noProof/>
              </w:rPr>
              <w:t>4.6.</w:t>
            </w:r>
            <w:r>
              <w:rPr>
                <w:rFonts w:eastAsiaTheme="minorEastAsia"/>
                <w:noProof/>
                <w:kern w:val="2"/>
                <w:sz w:val="24"/>
                <w:szCs w:val="24"/>
                <w:lang w:val="en-US"/>
                <w14:ligatures w14:val="standardContextual"/>
              </w:rPr>
              <w:tab/>
            </w:r>
            <w:r w:rsidRPr="00023C4A">
              <w:rPr>
                <w:rStyle w:val="Hyperlink"/>
                <w:rFonts w:ascii="Arial" w:hAnsi="Arial" w:cs="Arial"/>
                <w:noProof/>
              </w:rPr>
              <w:t>Option 6:  New IoT/M2M Numbering Resource Standards</w:t>
            </w:r>
            <w:r>
              <w:rPr>
                <w:noProof/>
                <w:webHidden/>
              </w:rPr>
              <w:tab/>
            </w:r>
            <w:r>
              <w:rPr>
                <w:noProof/>
                <w:webHidden/>
              </w:rPr>
              <w:fldChar w:fldCharType="begin"/>
            </w:r>
            <w:r>
              <w:rPr>
                <w:noProof/>
                <w:webHidden/>
              </w:rPr>
              <w:instrText xml:space="preserve"> PAGEREF _Toc162946400 \h </w:instrText>
            </w:r>
            <w:r>
              <w:rPr>
                <w:noProof/>
                <w:webHidden/>
              </w:rPr>
            </w:r>
            <w:r>
              <w:rPr>
                <w:noProof/>
                <w:webHidden/>
              </w:rPr>
              <w:fldChar w:fldCharType="separate"/>
            </w:r>
            <w:r>
              <w:rPr>
                <w:noProof/>
                <w:webHidden/>
              </w:rPr>
              <w:t>15</w:t>
            </w:r>
            <w:r>
              <w:rPr>
                <w:noProof/>
                <w:webHidden/>
              </w:rPr>
              <w:fldChar w:fldCharType="end"/>
            </w:r>
          </w:hyperlink>
        </w:p>
        <w:p w14:paraId="681DF46A" w14:textId="7C98D26B" w:rsidR="00E34EFD" w:rsidRDefault="00E34EFD">
          <w:pPr>
            <w:pStyle w:val="TOC1"/>
            <w:tabs>
              <w:tab w:val="left" w:pos="960"/>
            </w:tabs>
            <w:rPr>
              <w:rFonts w:eastAsiaTheme="minorEastAsia"/>
              <w:noProof/>
              <w:kern w:val="2"/>
              <w:sz w:val="24"/>
              <w:szCs w:val="24"/>
              <w:lang w:val="en-US"/>
              <w14:ligatures w14:val="standardContextual"/>
            </w:rPr>
          </w:pPr>
          <w:hyperlink w:anchor="_Toc162946401" w:history="1">
            <w:r w:rsidRPr="00023C4A">
              <w:rPr>
                <w:rStyle w:val="Hyperlink"/>
                <w:rFonts w:ascii="Arial" w:hAnsi="Arial"/>
                <w:noProof/>
              </w:rPr>
              <w:t>4.7.</w:t>
            </w:r>
            <w:r>
              <w:rPr>
                <w:rFonts w:eastAsiaTheme="minorEastAsia"/>
                <w:noProof/>
                <w:kern w:val="2"/>
                <w:sz w:val="24"/>
                <w:szCs w:val="24"/>
                <w:lang w:val="en-US"/>
                <w14:ligatures w14:val="standardContextual"/>
              </w:rPr>
              <w:tab/>
            </w:r>
            <w:r w:rsidRPr="00023C4A">
              <w:rPr>
                <w:rStyle w:val="Hyperlink"/>
                <w:rFonts w:ascii="Arial" w:hAnsi="Arial"/>
                <w:noProof/>
              </w:rPr>
              <w:t>Option 7:  Extended 6YY NPAs</w:t>
            </w:r>
            <w:r>
              <w:rPr>
                <w:noProof/>
                <w:webHidden/>
              </w:rPr>
              <w:tab/>
            </w:r>
            <w:r>
              <w:rPr>
                <w:noProof/>
                <w:webHidden/>
              </w:rPr>
              <w:fldChar w:fldCharType="begin"/>
            </w:r>
            <w:r>
              <w:rPr>
                <w:noProof/>
                <w:webHidden/>
              </w:rPr>
              <w:instrText xml:space="preserve"> PAGEREF _Toc162946401 \h </w:instrText>
            </w:r>
            <w:r>
              <w:rPr>
                <w:noProof/>
                <w:webHidden/>
              </w:rPr>
            </w:r>
            <w:r>
              <w:rPr>
                <w:noProof/>
                <w:webHidden/>
              </w:rPr>
              <w:fldChar w:fldCharType="separate"/>
            </w:r>
            <w:r>
              <w:rPr>
                <w:noProof/>
                <w:webHidden/>
              </w:rPr>
              <w:t>16</w:t>
            </w:r>
            <w:r>
              <w:rPr>
                <w:noProof/>
                <w:webHidden/>
              </w:rPr>
              <w:fldChar w:fldCharType="end"/>
            </w:r>
          </w:hyperlink>
        </w:p>
        <w:p w14:paraId="6036624B" w14:textId="1C6DB0B0" w:rsidR="00E34EFD" w:rsidRDefault="00E34EFD">
          <w:pPr>
            <w:pStyle w:val="TOC1"/>
            <w:tabs>
              <w:tab w:val="left" w:pos="960"/>
            </w:tabs>
            <w:rPr>
              <w:rFonts w:eastAsiaTheme="minorEastAsia"/>
              <w:noProof/>
              <w:kern w:val="2"/>
              <w:sz w:val="24"/>
              <w:szCs w:val="24"/>
              <w:lang w:val="en-US"/>
              <w14:ligatures w14:val="standardContextual"/>
            </w:rPr>
          </w:pPr>
          <w:hyperlink w:anchor="_Toc162946402" w:history="1">
            <w:r w:rsidRPr="00023C4A">
              <w:rPr>
                <w:rStyle w:val="Hyperlink"/>
                <w:rFonts w:ascii="Arial" w:hAnsi="Arial"/>
                <w:noProof/>
              </w:rPr>
              <w:t>4.7.1.</w:t>
            </w:r>
            <w:r>
              <w:rPr>
                <w:rFonts w:eastAsiaTheme="minorEastAsia"/>
                <w:noProof/>
                <w:kern w:val="2"/>
                <w:sz w:val="24"/>
                <w:szCs w:val="24"/>
                <w:lang w:val="en-US"/>
                <w14:ligatures w14:val="standardContextual"/>
              </w:rPr>
              <w:tab/>
            </w:r>
            <w:r w:rsidRPr="00023C4A">
              <w:rPr>
                <w:rStyle w:val="Hyperlink"/>
                <w:rFonts w:ascii="Arial" w:hAnsi="Arial"/>
                <w:noProof/>
              </w:rPr>
              <w:t>Option 7A: Use 1+12-digit TNs in unused 6YY NPAs</w:t>
            </w:r>
            <w:r>
              <w:rPr>
                <w:noProof/>
                <w:webHidden/>
              </w:rPr>
              <w:tab/>
            </w:r>
            <w:r>
              <w:rPr>
                <w:noProof/>
                <w:webHidden/>
              </w:rPr>
              <w:fldChar w:fldCharType="begin"/>
            </w:r>
            <w:r>
              <w:rPr>
                <w:noProof/>
                <w:webHidden/>
              </w:rPr>
              <w:instrText xml:space="preserve"> PAGEREF _Toc162946402 \h </w:instrText>
            </w:r>
            <w:r>
              <w:rPr>
                <w:noProof/>
                <w:webHidden/>
              </w:rPr>
            </w:r>
            <w:r>
              <w:rPr>
                <w:noProof/>
                <w:webHidden/>
              </w:rPr>
              <w:fldChar w:fldCharType="separate"/>
            </w:r>
            <w:r>
              <w:rPr>
                <w:noProof/>
                <w:webHidden/>
              </w:rPr>
              <w:t>16</w:t>
            </w:r>
            <w:r>
              <w:rPr>
                <w:noProof/>
                <w:webHidden/>
              </w:rPr>
              <w:fldChar w:fldCharType="end"/>
            </w:r>
          </w:hyperlink>
        </w:p>
        <w:p w14:paraId="2165C4A5" w14:textId="1954CE84" w:rsidR="00E34EFD" w:rsidRDefault="00E34EFD">
          <w:pPr>
            <w:pStyle w:val="TOC1"/>
            <w:tabs>
              <w:tab w:val="left" w:pos="960"/>
            </w:tabs>
            <w:rPr>
              <w:rFonts w:eastAsiaTheme="minorEastAsia"/>
              <w:noProof/>
              <w:kern w:val="2"/>
              <w:sz w:val="24"/>
              <w:szCs w:val="24"/>
              <w:lang w:val="en-US"/>
              <w14:ligatures w14:val="standardContextual"/>
            </w:rPr>
          </w:pPr>
          <w:hyperlink w:anchor="_Toc162946403" w:history="1">
            <w:r w:rsidRPr="00023C4A">
              <w:rPr>
                <w:rStyle w:val="Hyperlink"/>
                <w:rFonts w:ascii="Arial" w:hAnsi="Arial"/>
                <w:noProof/>
              </w:rPr>
              <w:t>4.7.2.</w:t>
            </w:r>
            <w:r>
              <w:rPr>
                <w:rFonts w:eastAsiaTheme="minorEastAsia"/>
                <w:noProof/>
                <w:kern w:val="2"/>
                <w:sz w:val="24"/>
                <w:szCs w:val="24"/>
                <w:lang w:val="en-US"/>
                <w14:ligatures w14:val="standardContextual"/>
              </w:rPr>
              <w:tab/>
            </w:r>
            <w:r w:rsidRPr="00023C4A">
              <w:rPr>
                <w:rStyle w:val="Hyperlink"/>
                <w:rFonts w:ascii="Arial" w:hAnsi="Arial"/>
                <w:noProof/>
              </w:rPr>
              <w:t>Option 7B:  Use 1+14-digit TNs in unused 6YY NPAs</w:t>
            </w:r>
            <w:r>
              <w:rPr>
                <w:noProof/>
                <w:webHidden/>
              </w:rPr>
              <w:tab/>
            </w:r>
            <w:r>
              <w:rPr>
                <w:noProof/>
                <w:webHidden/>
              </w:rPr>
              <w:fldChar w:fldCharType="begin"/>
            </w:r>
            <w:r>
              <w:rPr>
                <w:noProof/>
                <w:webHidden/>
              </w:rPr>
              <w:instrText xml:space="preserve"> PAGEREF _Toc162946403 \h </w:instrText>
            </w:r>
            <w:r>
              <w:rPr>
                <w:noProof/>
                <w:webHidden/>
              </w:rPr>
            </w:r>
            <w:r>
              <w:rPr>
                <w:noProof/>
                <w:webHidden/>
              </w:rPr>
              <w:fldChar w:fldCharType="separate"/>
            </w:r>
            <w:r>
              <w:rPr>
                <w:noProof/>
                <w:webHidden/>
              </w:rPr>
              <w:t>17</w:t>
            </w:r>
            <w:r>
              <w:rPr>
                <w:noProof/>
                <w:webHidden/>
              </w:rPr>
              <w:fldChar w:fldCharType="end"/>
            </w:r>
          </w:hyperlink>
        </w:p>
        <w:p w14:paraId="5835A8E9" w14:textId="3875643C" w:rsidR="00E34EFD" w:rsidRDefault="00E34EFD">
          <w:pPr>
            <w:pStyle w:val="TOC1"/>
            <w:rPr>
              <w:rFonts w:eastAsiaTheme="minorEastAsia"/>
              <w:noProof/>
              <w:kern w:val="2"/>
              <w:sz w:val="24"/>
              <w:szCs w:val="24"/>
              <w:lang w:val="en-US"/>
              <w14:ligatures w14:val="standardContextual"/>
            </w:rPr>
          </w:pPr>
          <w:hyperlink w:anchor="_Toc162946404" w:history="1">
            <w:r w:rsidRPr="00023C4A">
              <w:rPr>
                <w:rStyle w:val="Hyperlink"/>
                <w:rFonts w:ascii="Arial" w:hAnsi="Arial"/>
                <w:noProof/>
              </w:rPr>
              <w:t>5.</w:t>
            </w:r>
            <w:r>
              <w:rPr>
                <w:rFonts w:eastAsiaTheme="minorEastAsia"/>
                <w:noProof/>
                <w:kern w:val="2"/>
                <w:sz w:val="24"/>
                <w:szCs w:val="24"/>
                <w:lang w:val="en-US"/>
                <w14:ligatures w14:val="standardContextual"/>
              </w:rPr>
              <w:tab/>
            </w:r>
            <w:r w:rsidRPr="00023C4A">
              <w:rPr>
                <w:rStyle w:val="Hyperlink"/>
                <w:rFonts w:ascii="Arial" w:hAnsi="Arial"/>
                <w:noProof/>
              </w:rPr>
              <w:t>Analysis</w:t>
            </w:r>
            <w:r>
              <w:rPr>
                <w:noProof/>
                <w:webHidden/>
              </w:rPr>
              <w:tab/>
            </w:r>
            <w:r>
              <w:rPr>
                <w:noProof/>
                <w:webHidden/>
              </w:rPr>
              <w:fldChar w:fldCharType="begin"/>
            </w:r>
            <w:r>
              <w:rPr>
                <w:noProof/>
                <w:webHidden/>
              </w:rPr>
              <w:instrText xml:space="preserve"> PAGEREF _Toc162946404 \h </w:instrText>
            </w:r>
            <w:r>
              <w:rPr>
                <w:noProof/>
                <w:webHidden/>
              </w:rPr>
            </w:r>
            <w:r>
              <w:rPr>
                <w:noProof/>
                <w:webHidden/>
              </w:rPr>
              <w:fldChar w:fldCharType="separate"/>
            </w:r>
            <w:r>
              <w:rPr>
                <w:noProof/>
                <w:webHidden/>
              </w:rPr>
              <w:t>17</w:t>
            </w:r>
            <w:r>
              <w:rPr>
                <w:noProof/>
                <w:webHidden/>
              </w:rPr>
              <w:fldChar w:fldCharType="end"/>
            </w:r>
          </w:hyperlink>
        </w:p>
        <w:p w14:paraId="1D9DCA9D" w14:textId="4F98F3B8" w:rsidR="00E34EFD" w:rsidRDefault="00E34EFD">
          <w:pPr>
            <w:pStyle w:val="TOC1"/>
            <w:tabs>
              <w:tab w:val="left" w:pos="960"/>
            </w:tabs>
            <w:rPr>
              <w:rFonts w:eastAsiaTheme="minorEastAsia"/>
              <w:noProof/>
              <w:kern w:val="2"/>
              <w:sz w:val="24"/>
              <w:szCs w:val="24"/>
              <w:lang w:val="en-US"/>
              <w14:ligatures w14:val="standardContextual"/>
            </w:rPr>
          </w:pPr>
          <w:hyperlink w:anchor="_Toc162946405" w:history="1">
            <w:r w:rsidRPr="00023C4A">
              <w:rPr>
                <w:rStyle w:val="Hyperlink"/>
                <w:rFonts w:ascii="Arial" w:hAnsi="Arial"/>
                <w:noProof/>
              </w:rPr>
              <w:t>5.1.</w:t>
            </w:r>
            <w:r>
              <w:rPr>
                <w:rFonts w:eastAsiaTheme="minorEastAsia"/>
                <w:noProof/>
                <w:kern w:val="2"/>
                <w:sz w:val="24"/>
                <w:szCs w:val="24"/>
                <w:lang w:val="en-US"/>
                <w14:ligatures w14:val="standardContextual"/>
              </w:rPr>
              <w:tab/>
            </w:r>
            <w:r w:rsidRPr="00023C4A">
              <w:rPr>
                <w:rStyle w:val="Hyperlink"/>
                <w:rFonts w:ascii="Arial" w:hAnsi="Arial"/>
                <w:noProof/>
              </w:rPr>
              <w:t>Full Solutions</w:t>
            </w:r>
            <w:r>
              <w:rPr>
                <w:noProof/>
                <w:webHidden/>
              </w:rPr>
              <w:tab/>
            </w:r>
            <w:r>
              <w:rPr>
                <w:noProof/>
                <w:webHidden/>
              </w:rPr>
              <w:fldChar w:fldCharType="begin"/>
            </w:r>
            <w:r>
              <w:rPr>
                <w:noProof/>
                <w:webHidden/>
              </w:rPr>
              <w:instrText xml:space="preserve"> PAGEREF _Toc162946405 \h </w:instrText>
            </w:r>
            <w:r>
              <w:rPr>
                <w:noProof/>
                <w:webHidden/>
              </w:rPr>
            </w:r>
            <w:r>
              <w:rPr>
                <w:noProof/>
                <w:webHidden/>
              </w:rPr>
              <w:fldChar w:fldCharType="separate"/>
            </w:r>
            <w:r>
              <w:rPr>
                <w:noProof/>
                <w:webHidden/>
              </w:rPr>
              <w:t>18</w:t>
            </w:r>
            <w:r>
              <w:rPr>
                <w:noProof/>
                <w:webHidden/>
              </w:rPr>
              <w:fldChar w:fldCharType="end"/>
            </w:r>
          </w:hyperlink>
        </w:p>
        <w:p w14:paraId="4972A5F4" w14:textId="1DFC0F9C" w:rsidR="00E34EFD" w:rsidRDefault="00E34EFD">
          <w:pPr>
            <w:pStyle w:val="TOC1"/>
            <w:tabs>
              <w:tab w:val="left" w:pos="960"/>
            </w:tabs>
            <w:rPr>
              <w:rFonts w:eastAsiaTheme="minorEastAsia"/>
              <w:noProof/>
              <w:kern w:val="2"/>
              <w:sz w:val="24"/>
              <w:szCs w:val="24"/>
              <w:lang w:val="en-US"/>
              <w14:ligatures w14:val="standardContextual"/>
            </w:rPr>
          </w:pPr>
          <w:hyperlink w:anchor="_Toc162946406" w:history="1">
            <w:r w:rsidRPr="00023C4A">
              <w:rPr>
                <w:rStyle w:val="Hyperlink"/>
                <w:rFonts w:ascii="Arial" w:hAnsi="Arial"/>
                <w:noProof/>
              </w:rPr>
              <w:t>5.2.</w:t>
            </w:r>
            <w:r>
              <w:rPr>
                <w:rFonts w:eastAsiaTheme="minorEastAsia"/>
                <w:noProof/>
                <w:kern w:val="2"/>
                <w:sz w:val="24"/>
                <w:szCs w:val="24"/>
                <w:lang w:val="en-US"/>
                <w14:ligatures w14:val="standardContextual"/>
              </w:rPr>
              <w:tab/>
            </w:r>
            <w:r w:rsidRPr="00023C4A">
              <w:rPr>
                <w:rStyle w:val="Hyperlink"/>
                <w:rFonts w:ascii="Arial" w:hAnsi="Arial"/>
                <w:noProof/>
              </w:rPr>
              <w:t>Partial Solutions</w:t>
            </w:r>
            <w:r>
              <w:rPr>
                <w:noProof/>
                <w:webHidden/>
              </w:rPr>
              <w:tab/>
            </w:r>
            <w:r>
              <w:rPr>
                <w:noProof/>
                <w:webHidden/>
              </w:rPr>
              <w:fldChar w:fldCharType="begin"/>
            </w:r>
            <w:r>
              <w:rPr>
                <w:noProof/>
                <w:webHidden/>
              </w:rPr>
              <w:instrText xml:space="preserve"> PAGEREF _Toc162946406 \h </w:instrText>
            </w:r>
            <w:r>
              <w:rPr>
                <w:noProof/>
                <w:webHidden/>
              </w:rPr>
            </w:r>
            <w:r>
              <w:rPr>
                <w:noProof/>
                <w:webHidden/>
              </w:rPr>
              <w:fldChar w:fldCharType="separate"/>
            </w:r>
            <w:r>
              <w:rPr>
                <w:noProof/>
                <w:webHidden/>
              </w:rPr>
              <w:t>18</w:t>
            </w:r>
            <w:r>
              <w:rPr>
                <w:noProof/>
                <w:webHidden/>
              </w:rPr>
              <w:fldChar w:fldCharType="end"/>
            </w:r>
          </w:hyperlink>
        </w:p>
        <w:p w14:paraId="4E554EF7" w14:textId="0A48C350" w:rsidR="00E34EFD" w:rsidRDefault="00E34EFD">
          <w:pPr>
            <w:pStyle w:val="TOC1"/>
            <w:tabs>
              <w:tab w:val="left" w:pos="960"/>
            </w:tabs>
            <w:rPr>
              <w:rFonts w:eastAsiaTheme="minorEastAsia"/>
              <w:noProof/>
              <w:kern w:val="2"/>
              <w:sz w:val="24"/>
              <w:szCs w:val="24"/>
              <w:lang w:val="en-US"/>
              <w14:ligatures w14:val="standardContextual"/>
            </w:rPr>
          </w:pPr>
          <w:hyperlink w:anchor="_Toc162946407" w:history="1">
            <w:r w:rsidRPr="00023C4A">
              <w:rPr>
                <w:rStyle w:val="Hyperlink"/>
                <w:rFonts w:ascii="Arial" w:hAnsi="Arial"/>
                <w:noProof/>
              </w:rPr>
              <w:t>5.3.</w:t>
            </w:r>
            <w:r>
              <w:rPr>
                <w:rFonts w:eastAsiaTheme="minorEastAsia"/>
                <w:noProof/>
                <w:kern w:val="2"/>
                <w:sz w:val="24"/>
                <w:szCs w:val="24"/>
                <w:lang w:val="en-US"/>
                <w14:ligatures w14:val="standardContextual"/>
              </w:rPr>
              <w:tab/>
            </w:r>
            <w:r w:rsidRPr="00023C4A">
              <w:rPr>
                <w:rStyle w:val="Hyperlink"/>
                <w:rFonts w:ascii="Arial" w:hAnsi="Arial"/>
                <w:noProof/>
              </w:rPr>
              <w:t>Other Remedies</w:t>
            </w:r>
            <w:r>
              <w:rPr>
                <w:noProof/>
                <w:webHidden/>
              </w:rPr>
              <w:tab/>
            </w:r>
            <w:r>
              <w:rPr>
                <w:noProof/>
                <w:webHidden/>
              </w:rPr>
              <w:fldChar w:fldCharType="begin"/>
            </w:r>
            <w:r>
              <w:rPr>
                <w:noProof/>
                <w:webHidden/>
              </w:rPr>
              <w:instrText xml:space="preserve"> PAGEREF _Toc162946407 \h </w:instrText>
            </w:r>
            <w:r>
              <w:rPr>
                <w:noProof/>
                <w:webHidden/>
              </w:rPr>
            </w:r>
            <w:r>
              <w:rPr>
                <w:noProof/>
                <w:webHidden/>
              </w:rPr>
              <w:fldChar w:fldCharType="separate"/>
            </w:r>
            <w:r>
              <w:rPr>
                <w:noProof/>
                <w:webHidden/>
              </w:rPr>
              <w:t>19</w:t>
            </w:r>
            <w:r>
              <w:rPr>
                <w:noProof/>
                <w:webHidden/>
              </w:rPr>
              <w:fldChar w:fldCharType="end"/>
            </w:r>
          </w:hyperlink>
        </w:p>
        <w:p w14:paraId="39C344F4" w14:textId="451B2F27" w:rsidR="00E34EFD" w:rsidRDefault="00E34EFD">
          <w:pPr>
            <w:pStyle w:val="TOC1"/>
            <w:tabs>
              <w:tab w:val="left" w:pos="960"/>
            </w:tabs>
            <w:rPr>
              <w:rFonts w:eastAsiaTheme="minorEastAsia"/>
              <w:noProof/>
              <w:kern w:val="2"/>
              <w:sz w:val="24"/>
              <w:szCs w:val="24"/>
              <w:lang w:val="en-US"/>
              <w14:ligatures w14:val="standardContextual"/>
            </w:rPr>
          </w:pPr>
          <w:hyperlink w:anchor="_Toc162946408" w:history="1">
            <w:r w:rsidRPr="00023C4A">
              <w:rPr>
                <w:rStyle w:val="Hyperlink"/>
                <w:rFonts w:ascii="Arial" w:hAnsi="Arial"/>
                <w:noProof/>
              </w:rPr>
              <w:t>5.4.</w:t>
            </w:r>
            <w:r>
              <w:rPr>
                <w:rFonts w:eastAsiaTheme="minorEastAsia"/>
                <w:noProof/>
                <w:kern w:val="2"/>
                <w:sz w:val="24"/>
                <w:szCs w:val="24"/>
                <w:lang w:val="en-US"/>
                <w14:ligatures w14:val="standardContextual"/>
              </w:rPr>
              <w:tab/>
            </w:r>
            <w:r w:rsidRPr="00023C4A">
              <w:rPr>
                <w:rStyle w:val="Hyperlink"/>
                <w:rFonts w:ascii="Arial" w:hAnsi="Arial"/>
                <w:noProof/>
              </w:rPr>
              <w:t>Calendar of Solutions</w:t>
            </w:r>
            <w:r>
              <w:rPr>
                <w:noProof/>
                <w:webHidden/>
              </w:rPr>
              <w:tab/>
            </w:r>
            <w:r>
              <w:rPr>
                <w:noProof/>
                <w:webHidden/>
              </w:rPr>
              <w:fldChar w:fldCharType="begin"/>
            </w:r>
            <w:r>
              <w:rPr>
                <w:noProof/>
                <w:webHidden/>
              </w:rPr>
              <w:instrText xml:space="preserve"> PAGEREF _Toc162946408 \h </w:instrText>
            </w:r>
            <w:r>
              <w:rPr>
                <w:noProof/>
                <w:webHidden/>
              </w:rPr>
            </w:r>
            <w:r>
              <w:rPr>
                <w:noProof/>
                <w:webHidden/>
              </w:rPr>
              <w:fldChar w:fldCharType="separate"/>
            </w:r>
            <w:r>
              <w:rPr>
                <w:noProof/>
                <w:webHidden/>
              </w:rPr>
              <w:t>20</w:t>
            </w:r>
            <w:r>
              <w:rPr>
                <w:noProof/>
                <w:webHidden/>
              </w:rPr>
              <w:fldChar w:fldCharType="end"/>
            </w:r>
          </w:hyperlink>
        </w:p>
        <w:p w14:paraId="13391BB6" w14:textId="045B7900" w:rsidR="00E34EFD" w:rsidRDefault="00E34EFD">
          <w:pPr>
            <w:pStyle w:val="TOC1"/>
            <w:rPr>
              <w:rFonts w:eastAsiaTheme="minorEastAsia"/>
              <w:noProof/>
              <w:kern w:val="2"/>
              <w:sz w:val="24"/>
              <w:szCs w:val="24"/>
              <w:lang w:val="en-US"/>
              <w14:ligatures w14:val="standardContextual"/>
            </w:rPr>
          </w:pPr>
          <w:hyperlink w:anchor="_Toc162946409" w:history="1">
            <w:r w:rsidRPr="00023C4A">
              <w:rPr>
                <w:rStyle w:val="Hyperlink"/>
                <w:rFonts w:ascii="Arial" w:hAnsi="Arial" w:cs="Arial"/>
                <w:noProof/>
              </w:rPr>
              <w:t>6</w:t>
            </w:r>
            <w:r>
              <w:rPr>
                <w:rFonts w:eastAsiaTheme="minorEastAsia"/>
                <w:noProof/>
                <w:kern w:val="2"/>
                <w:sz w:val="24"/>
                <w:szCs w:val="24"/>
                <w:lang w:val="en-US"/>
                <w14:ligatures w14:val="standardContextual"/>
              </w:rPr>
              <w:tab/>
            </w:r>
            <w:r w:rsidRPr="00023C4A">
              <w:rPr>
                <w:rStyle w:val="Hyperlink"/>
                <w:rFonts w:ascii="Arial" w:hAnsi="Arial" w:cs="Arial"/>
                <w:noProof/>
              </w:rPr>
              <w:t>Conclusions</w:t>
            </w:r>
            <w:r>
              <w:rPr>
                <w:noProof/>
                <w:webHidden/>
              </w:rPr>
              <w:tab/>
            </w:r>
            <w:r>
              <w:rPr>
                <w:noProof/>
                <w:webHidden/>
              </w:rPr>
              <w:fldChar w:fldCharType="begin"/>
            </w:r>
            <w:r>
              <w:rPr>
                <w:noProof/>
                <w:webHidden/>
              </w:rPr>
              <w:instrText xml:space="preserve"> PAGEREF _Toc162946409 \h </w:instrText>
            </w:r>
            <w:r>
              <w:rPr>
                <w:noProof/>
                <w:webHidden/>
              </w:rPr>
            </w:r>
            <w:r>
              <w:rPr>
                <w:noProof/>
                <w:webHidden/>
              </w:rPr>
              <w:fldChar w:fldCharType="separate"/>
            </w:r>
            <w:r>
              <w:rPr>
                <w:noProof/>
                <w:webHidden/>
              </w:rPr>
              <w:t>24</w:t>
            </w:r>
            <w:r>
              <w:rPr>
                <w:noProof/>
                <w:webHidden/>
              </w:rPr>
              <w:fldChar w:fldCharType="end"/>
            </w:r>
          </w:hyperlink>
        </w:p>
        <w:p w14:paraId="10E8CB25" w14:textId="23EDF36F" w:rsidR="00E34EFD" w:rsidRDefault="00E34EFD">
          <w:pPr>
            <w:pStyle w:val="TOC1"/>
            <w:rPr>
              <w:rFonts w:eastAsiaTheme="minorEastAsia"/>
              <w:noProof/>
              <w:kern w:val="2"/>
              <w:sz w:val="24"/>
              <w:szCs w:val="24"/>
              <w:lang w:val="en-US"/>
              <w14:ligatures w14:val="standardContextual"/>
            </w:rPr>
          </w:pPr>
          <w:hyperlink w:anchor="_Toc162946410" w:history="1">
            <w:r w:rsidRPr="00023C4A">
              <w:rPr>
                <w:rStyle w:val="Hyperlink"/>
                <w:rFonts w:ascii="Arial" w:hAnsi="Arial" w:cs="Arial"/>
                <w:noProof/>
              </w:rPr>
              <w:t>7</w:t>
            </w:r>
            <w:r>
              <w:rPr>
                <w:rFonts w:eastAsiaTheme="minorEastAsia"/>
                <w:noProof/>
                <w:kern w:val="2"/>
                <w:sz w:val="24"/>
                <w:szCs w:val="24"/>
                <w:lang w:val="en-US"/>
                <w14:ligatures w14:val="standardContextual"/>
              </w:rPr>
              <w:tab/>
            </w:r>
            <w:r w:rsidRPr="00023C4A">
              <w:rPr>
                <w:rStyle w:val="Hyperlink"/>
                <w:rFonts w:ascii="Arial" w:hAnsi="Arial" w:cs="Arial"/>
                <w:noProof/>
              </w:rPr>
              <w:t>Recommendations</w:t>
            </w:r>
            <w:r>
              <w:rPr>
                <w:noProof/>
                <w:webHidden/>
              </w:rPr>
              <w:tab/>
            </w:r>
            <w:r>
              <w:rPr>
                <w:noProof/>
                <w:webHidden/>
              </w:rPr>
              <w:fldChar w:fldCharType="begin"/>
            </w:r>
            <w:r>
              <w:rPr>
                <w:noProof/>
                <w:webHidden/>
              </w:rPr>
              <w:instrText xml:space="preserve"> PAGEREF _Toc162946410 \h </w:instrText>
            </w:r>
            <w:r>
              <w:rPr>
                <w:noProof/>
                <w:webHidden/>
              </w:rPr>
            </w:r>
            <w:r>
              <w:rPr>
                <w:noProof/>
                <w:webHidden/>
              </w:rPr>
              <w:fldChar w:fldCharType="separate"/>
            </w:r>
            <w:r>
              <w:rPr>
                <w:noProof/>
                <w:webHidden/>
              </w:rPr>
              <w:t>24</w:t>
            </w:r>
            <w:r>
              <w:rPr>
                <w:noProof/>
                <w:webHidden/>
              </w:rPr>
              <w:fldChar w:fldCharType="end"/>
            </w:r>
          </w:hyperlink>
        </w:p>
        <w:p w14:paraId="4DC5FC7E" w14:textId="076C25A2" w:rsidR="00E34EFD" w:rsidRDefault="00E34EFD">
          <w:pPr>
            <w:pStyle w:val="TOC1"/>
            <w:rPr>
              <w:rFonts w:eastAsiaTheme="minorEastAsia"/>
              <w:noProof/>
              <w:kern w:val="2"/>
              <w:sz w:val="24"/>
              <w:szCs w:val="24"/>
              <w:lang w:val="en-US"/>
              <w14:ligatures w14:val="standardContextual"/>
            </w:rPr>
          </w:pPr>
          <w:hyperlink w:anchor="_Toc162946411" w:history="1">
            <w:r w:rsidRPr="00023C4A">
              <w:rPr>
                <w:rStyle w:val="Hyperlink"/>
                <w:rFonts w:ascii="Arial" w:hAnsi="Arial" w:cs="Arial"/>
                <w:noProof/>
              </w:rPr>
              <w:t>8</w:t>
            </w:r>
            <w:r>
              <w:rPr>
                <w:rFonts w:eastAsiaTheme="minorEastAsia"/>
                <w:noProof/>
                <w:kern w:val="2"/>
                <w:sz w:val="24"/>
                <w:szCs w:val="24"/>
                <w:lang w:val="en-US"/>
                <w14:ligatures w14:val="standardContextual"/>
              </w:rPr>
              <w:tab/>
            </w:r>
            <w:r w:rsidRPr="00023C4A">
              <w:rPr>
                <w:rStyle w:val="Hyperlink"/>
                <w:rFonts w:ascii="Arial" w:hAnsi="Arial" w:cs="Arial"/>
                <w:noProof/>
              </w:rPr>
              <w:t>Matters for Further Consideration</w:t>
            </w:r>
            <w:r>
              <w:rPr>
                <w:noProof/>
                <w:webHidden/>
              </w:rPr>
              <w:tab/>
            </w:r>
            <w:r>
              <w:rPr>
                <w:noProof/>
                <w:webHidden/>
              </w:rPr>
              <w:fldChar w:fldCharType="begin"/>
            </w:r>
            <w:r>
              <w:rPr>
                <w:noProof/>
                <w:webHidden/>
              </w:rPr>
              <w:instrText xml:space="preserve"> PAGEREF _Toc162946411 \h </w:instrText>
            </w:r>
            <w:r>
              <w:rPr>
                <w:noProof/>
                <w:webHidden/>
              </w:rPr>
            </w:r>
            <w:r>
              <w:rPr>
                <w:noProof/>
                <w:webHidden/>
              </w:rPr>
              <w:fldChar w:fldCharType="separate"/>
            </w:r>
            <w:r>
              <w:rPr>
                <w:noProof/>
                <w:webHidden/>
              </w:rPr>
              <w:t>24</w:t>
            </w:r>
            <w:r>
              <w:rPr>
                <w:noProof/>
                <w:webHidden/>
              </w:rPr>
              <w:fldChar w:fldCharType="end"/>
            </w:r>
          </w:hyperlink>
        </w:p>
        <w:p w14:paraId="3F745480" w14:textId="3B4B46B0" w:rsidR="00E34EFD" w:rsidRDefault="00E34EFD">
          <w:pPr>
            <w:pStyle w:val="TOC1"/>
            <w:rPr>
              <w:rFonts w:eastAsiaTheme="minorEastAsia"/>
              <w:noProof/>
              <w:kern w:val="2"/>
              <w:sz w:val="24"/>
              <w:szCs w:val="24"/>
              <w:lang w:val="en-US"/>
              <w14:ligatures w14:val="standardContextual"/>
            </w:rPr>
          </w:pPr>
          <w:hyperlink w:anchor="_Toc162946412" w:history="1">
            <w:r w:rsidRPr="00023C4A">
              <w:rPr>
                <w:rStyle w:val="Hyperlink"/>
                <w:rFonts w:ascii="Arial" w:hAnsi="Arial" w:cs="Arial"/>
                <w:noProof/>
              </w:rPr>
              <w:t>9</w:t>
            </w:r>
            <w:r>
              <w:rPr>
                <w:rFonts w:eastAsiaTheme="minorEastAsia"/>
                <w:noProof/>
                <w:kern w:val="2"/>
                <w:sz w:val="24"/>
                <w:szCs w:val="24"/>
                <w:lang w:val="en-US"/>
                <w14:ligatures w14:val="standardContextual"/>
              </w:rPr>
              <w:tab/>
            </w:r>
            <w:r w:rsidRPr="00023C4A">
              <w:rPr>
                <w:rStyle w:val="Hyperlink"/>
                <w:rFonts w:ascii="Arial" w:hAnsi="Arial" w:cs="Arial"/>
                <w:noProof/>
              </w:rPr>
              <w:t>Terms and Acronyms</w:t>
            </w:r>
            <w:r>
              <w:rPr>
                <w:noProof/>
                <w:webHidden/>
              </w:rPr>
              <w:tab/>
            </w:r>
            <w:r>
              <w:rPr>
                <w:noProof/>
                <w:webHidden/>
              </w:rPr>
              <w:fldChar w:fldCharType="begin"/>
            </w:r>
            <w:r>
              <w:rPr>
                <w:noProof/>
                <w:webHidden/>
              </w:rPr>
              <w:instrText xml:space="preserve"> PAGEREF _Toc162946412 \h </w:instrText>
            </w:r>
            <w:r>
              <w:rPr>
                <w:noProof/>
                <w:webHidden/>
              </w:rPr>
            </w:r>
            <w:r>
              <w:rPr>
                <w:noProof/>
                <w:webHidden/>
              </w:rPr>
              <w:fldChar w:fldCharType="separate"/>
            </w:r>
            <w:r>
              <w:rPr>
                <w:noProof/>
                <w:webHidden/>
              </w:rPr>
              <w:t>25</w:t>
            </w:r>
            <w:r>
              <w:rPr>
                <w:noProof/>
                <w:webHidden/>
              </w:rPr>
              <w:fldChar w:fldCharType="end"/>
            </w:r>
          </w:hyperlink>
        </w:p>
        <w:p w14:paraId="6CDA8D76" w14:textId="3AEB4A60" w:rsidR="00E34EFD" w:rsidRDefault="00E34EFD">
          <w:pPr>
            <w:pStyle w:val="TOC1"/>
            <w:rPr>
              <w:rFonts w:eastAsiaTheme="minorEastAsia"/>
              <w:noProof/>
              <w:kern w:val="2"/>
              <w:sz w:val="24"/>
              <w:szCs w:val="24"/>
              <w:lang w:val="en-US"/>
              <w14:ligatures w14:val="standardContextual"/>
            </w:rPr>
          </w:pPr>
          <w:hyperlink w:anchor="_Toc162946413" w:history="1">
            <w:r w:rsidRPr="00023C4A">
              <w:rPr>
                <w:rStyle w:val="Hyperlink"/>
                <w:rFonts w:ascii="Arial" w:hAnsi="Arial" w:cs="Arial"/>
                <w:noProof/>
              </w:rPr>
              <w:t>10</w:t>
            </w:r>
            <w:r>
              <w:rPr>
                <w:rFonts w:eastAsiaTheme="minorEastAsia"/>
                <w:noProof/>
                <w:kern w:val="2"/>
                <w:sz w:val="24"/>
                <w:szCs w:val="24"/>
                <w:lang w:val="en-US"/>
                <w14:ligatures w14:val="standardContextual"/>
              </w:rPr>
              <w:tab/>
            </w:r>
            <w:r w:rsidRPr="00023C4A">
              <w:rPr>
                <w:rStyle w:val="Hyperlink"/>
                <w:rFonts w:ascii="Arial" w:hAnsi="Arial" w:cs="Arial"/>
                <w:noProof/>
              </w:rPr>
              <w:t>Contributions</w:t>
            </w:r>
            <w:r>
              <w:rPr>
                <w:noProof/>
                <w:webHidden/>
              </w:rPr>
              <w:tab/>
            </w:r>
            <w:r>
              <w:rPr>
                <w:noProof/>
                <w:webHidden/>
              </w:rPr>
              <w:fldChar w:fldCharType="begin"/>
            </w:r>
            <w:r>
              <w:rPr>
                <w:noProof/>
                <w:webHidden/>
              </w:rPr>
              <w:instrText xml:space="preserve"> PAGEREF _Toc162946413 \h </w:instrText>
            </w:r>
            <w:r>
              <w:rPr>
                <w:noProof/>
                <w:webHidden/>
              </w:rPr>
            </w:r>
            <w:r>
              <w:rPr>
                <w:noProof/>
                <w:webHidden/>
              </w:rPr>
              <w:fldChar w:fldCharType="separate"/>
            </w:r>
            <w:r>
              <w:rPr>
                <w:noProof/>
                <w:webHidden/>
              </w:rPr>
              <w:t>28</w:t>
            </w:r>
            <w:r>
              <w:rPr>
                <w:noProof/>
                <w:webHidden/>
              </w:rPr>
              <w:fldChar w:fldCharType="end"/>
            </w:r>
          </w:hyperlink>
        </w:p>
        <w:p w14:paraId="1771D557" w14:textId="0C8B54D4" w:rsidR="00E34EFD" w:rsidRDefault="00E34EFD">
          <w:pPr>
            <w:pStyle w:val="TOC1"/>
            <w:rPr>
              <w:rFonts w:eastAsiaTheme="minorEastAsia"/>
              <w:noProof/>
              <w:kern w:val="2"/>
              <w:sz w:val="24"/>
              <w:szCs w:val="24"/>
              <w:lang w:val="en-US"/>
              <w14:ligatures w14:val="standardContextual"/>
            </w:rPr>
          </w:pPr>
          <w:hyperlink w:anchor="_Toc162946414" w:history="1">
            <w:r w:rsidRPr="00023C4A">
              <w:rPr>
                <w:rStyle w:val="Hyperlink"/>
                <w:rFonts w:ascii="Arial" w:hAnsi="Arial" w:cs="Arial"/>
                <w:noProof/>
              </w:rPr>
              <w:t>11</w:t>
            </w:r>
            <w:r>
              <w:rPr>
                <w:rFonts w:eastAsiaTheme="minorEastAsia"/>
                <w:noProof/>
                <w:kern w:val="2"/>
                <w:sz w:val="24"/>
                <w:szCs w:val="24"/>
                <w:lang w:val="en-US"/>
                <w14:ligatures w14:val="standardContextual"/>
              </w:rPr>
              <w:tab/>
            </w:r>
            <w:r w:rsidRPr="00023C4A">
              <w:rPr>
                <w:rStyle w:val="Hyperlink"/>
                <w:rFonts w:ascii="Arial" w:hAnsi="Arial" w:cs="Arial"/>
                <w:noProof/>
              </w:rPr>
              <w:t>CSCN TIF 112 Participants</w:t>
            </w:r>
            <w:r>
              <w:rPr>
                <w:noProof/>
                <w:webHidden/>
              </w:rPr>
              <w:tab/>
            </w:r>
            <w:r>
              <w:rPr>
                <w:noProof/>
                <w:webHidden/>
              </w:rPr>
              <w:fldChar w:fldCharType="begin"/>
            </w:r>
            <w:r>
              <w:rPr>
                <w:noProof/>
                <w:webHidden/>
              </w:rPr>
              <w:instrText xml:space="preserve"> PAGEREF _Toc162946414 \h </w:instrText>
            </w:r>
            <w:r>
              <w:rPr>
                <w:noProof/>
                <w:webHidden/>
              </w:rPr>
            </w:r>
            <w:r>
              <w:rPr>
                <w:noProof/>
                <w:webHidden/>
              </w:rPr>
              <w:fldChar w:fldCharType="separate"/>
            </w:r>
            <w:r>
              <w:rPr>
                <w:noProof/>
                <w:webHidden/>
              </w:rPr>
              <w:t>29</w:t>
            </w:r>
            <w:r>
              <w:rPr>
                <w:noProof/>
                <w:webHidden/>
              </w:rPr>
              <w:fldChar w:fldCharType="end"/>
            </w:r>
          </w:hyperlink>
        </w:p>
        <w:p w14:paraId="05122C9F" w14:textId="114A509C" w:rsidR="00E34EFD" w:rsidRDefault="00E34EFD">
          <w:pPr>
            <w:pStyle w:val="TOC1"/>
            <w:rPr>
              <w:rFonts w:eastAsiaTheme="minorEastAsia"/>
              <w:noProof/>
              <w:kern w:val="2"/>
              <w:sz w:val="24"/>
              <w:szCs w:val="24"/>
              <w:lang w:val="en-US"/>
              <w14:ligatures w14:val="standardContextual"/>
            </w:rPr>
          </w:pPr>
          <w:hyperlink w:anchor="_Toc162946415" w:history="1">
            <w:r w:rsidRPr="00023C4A">
              <w:rPr>
                <w:rStyle w:val="Hyperlink"/>
                <w:rFonts w:ascii="Arial" w:hAnsi="Arial" w:cs="Arial"/>
                <w:noProof/>
              </w:rPr>
              <w:t>12</w:t>
            </w:r>
            <w:r>
              <w:rPr>
                <w:rFonts w:eastAsiaTheme="minorEastAsia"/>
                <w:noProof/>
                <w:kern w:val="2"/>
                <w:sz w:val="24"/>
                <w:szCs w:val="24"/>
                <w:lang w:val="en-US"/>
                <w14:ligatures w14:val="standardContextual"/>
              </w:rPr>
              <w:tab/>
            </w:r>
            <w:r w:rsidRPr="00023C4A">
              <w:rPr>
                <w:rStyle w:val="Hyperlink"/>
                <w:rFonts w:ascii="Arial" w:hAnsi="Arial" w:cs="Arial"/>
                <w:noProof/>
              </w:rPr>
              <w:t>NTWG TIF 43 Participants</w:t>
            </w:r>
            <w:r>
              <w:rPr>
                <w:noProof/>
                <w:webHidden/>
              </w:rPr>
              <w:tab/>
            </w:r>
            <w:r>
              <w:rPr>
                <w:noProof/>
                <w:webHidden/>
              </w:rPr>
              <w:fldChar w:fldCharType="begin"/>
            </w:r>
            <w:r>
              <w:rPr>
                <w:noProof/>
                <w:webHidden/>
              </w:rPr>
              <w:instrText xml:space="preserve"> PAGEREF _Toc162946415 \h </w:instrText>
            </w:r>
            <w:r>
              <w:rPr>
                <w:noProof/>
                <w:webHidden/>
              </w:rPr>
            </w:r>
            <w:r>
              <w:rPr>
                <w:noProof/>
                <w:webHidden/>
              </w:rPr>
              <w:fldChar w:fldCharType="separate"/>
            </w:r>
            <w:r>
              <w:rPr>
                <w:noProof/>
                <w:webHidden/>
              </w:rPr>
              <w:t>30</w:t>
            </w:r>
            <w:r>
              <w:rPr>
                <w:noProof/>
                <w:webHidden/>
              </w:rPr>
              <w:fldChar w:fldCharType="end"/>
            </w:r>
          </w:hyperlink>
        </w:p>
        <w:p w14:paraId="60A5F33E" w14:textId="25468437" w:rsidR="00765BFB" w:rsidRDefault="00765BFB">
          <w:r>
            <w:rPr>
              <w:b/>
              <w:bCs/>
              <w:noProof/>
            </w:rPr>
            <w:fldChar w:fldCharType="end"/>
          </w:r>
        </w:p>
      </w:sdtContent>
    </w:sdt>
    <w:p w14:paraId="311B7419" w14:textId="77777777" w:rsidR="00E34EFD" w:rsidRDefault="00434F87">
      <w:pPr>
        <w:rPr>
          <w:noProof/>
        </w:rPr>
      </w:pPr>
      <w:r w:rsidRPr="002276C9">
        <w:rPr>
          <w:rFonts w:ascii="Arial" w:hAnsi="Arial" w:cs="Arial"/>
          <w:u w:val="single"/>
        </w:rPr>
        <w:t>List of Figures</w:t>
      </w:r>
      <w:r>
        <w:rPr>
          <w:rFonts w:ascii="Arial" w:eastAsiaTheme="majorEastAsia" w:hAnsi="Arial" w:cstheme="majorBidi"/>
          <w:color w:val="2F5496" w:themeColor="accent1" w:themeShade="BF"/>
          <w:sz w:val="24"/>
          <w:szCs w:val="24"/>
          <w:u w:val="single"/>
        </w:rPr>
        <w:fldChar w:fldCharType="begin"/>
      </w:r>
      <w:r w:rsidRPr="002276C9">
        <w:rPr>
          <w:rFonts w:ascii="Arial" w:eastAsiaTheme="majorEastAsia" w:hAnsi="Arial" w:cstheme="majorBidi"/>
          <w:color w:val="2F5496" w:themeColor="accent1" w:themeShade="BF"/>
          <w:sz w:val="24"/>
          <w:szCs w:val="24"/>
          <w:u w:val="single"/>
        </w:rPr>
        <w:instrText xml:space="preserve"> TOC \h \z \c "Figure" </w:instrText>
      </w:r>
      <w:r>
        <w:rPr>
          <w:rFonts w:ascii="Arial" w:eastAsiaTheme="majorEastAsia" w:hAnsi="Arial" w:cstheme="majorBidi"/>
          <w:color w:val="2F5496" w:themeColor="accent1" w:themeShade="BF"/>
          <w:sz w:val="24"/>
          <w:szCs w:val="24"/>
          <w:u w:val="single"/>
        </w:rPr>
        <w:fldChar w:fldCharType="separate"/>
      </w:r>
    </w:p>
    <w:p w14:paraId="0541A9E5" w14:textId="284F71CC" w:rsidR="00E34EFD" w:rsidRDefault="00E34EFD">
      <w:pPr>
        <w:pStyle w:val="TableofFigures"/>
        <w:tabs>
          <w:tab w:val="right" w:leader="dot" w:pos="9350"/>
        </w:tabs>
        <w:rPr>
          <w:rFonts w:eastAsiaTheme="minorEastAsia"/>
          <w:noProof/>
          <w:kern w:val="2"/>
          <w:sz w:val="24"/>
          <w:szCs w:val="24"/>
          <w:lang w:val="en-US"/>
          <w14:ligatures w14:val="standardContextual"/>
        </w:rPr>
      </w:pPr>
      <w:hyperlink w:anchor="_Toc162946416" w:history="1">
        <w:r w:rsidRPr="002A7F56">
          <w:rPr>
            <w:rStyle w:val="Hyperlink"/>
            <w:b/>
            <w:noProof/>
          </w:rPr>
          <w:t>Figure 1:</w:t>
        </w:r>
        <w:r w:rsidRPr="002A7F56">
          <w:rPr>
            <w:rStyle w:val="Hyperlink"/>
            <w:noProof/>
          </w:rPr>
          <w:t xml:space="preserve">  International ITU-T E.164-Number Structure for Geographic Areas</w:t>
        </w:r>
        <w:r>
          <w:rPr>
            <w:noProof/>
            <w:webHidden/>
          </w:rPr>
          <w:tab/>
        </w:r>
        <w:r>
          <w:rPr>
            <w:noProof/>
            <w:webHidden/>
          </w:rPr>
          <w:fldChar w:fldCharType="begin"/>
        </w:r>
        <w:r>
          <w:rPr>
            <w:noProof/>
            <w:webHidden/>
          </w:rPr>
          <w:instrText xml:space="preserve"> PAGEREF _Toc162946416 \h </w:instrText>
        </w:r>
        <w:r>
          <w:rPr>
            <w:noProof/>
            <w:webHidden/>
          </w:rPr>
        </w:r>
        <w:r>
          <w:rPr>
            <w:noProof/>
            <w:webHidden/>
          </w:rPr>
          <w:fldChar w:fldCharType="separate"/>
        </w:r>
        <w:r>
          <w:rPr>
            <w:noProof/>
            <w:webHidden/>
          </w:rPr>
          <w:t>6</w:t>
        </w:r>
        <w:r>
          <w:rPr>
            <w:noProof/>
            <w:webHidden/>
          </w:rPr>
          <w:fldChar w:fldCharType="end"/>
        </w:r>
      </w:hyperlink>
    </w:p>
    <w:p w14:paraId="431F5C41" w14:textId="56D74C78" w:rsidR="00E34EFD" w:rsidRDefault="00E34EFD">
      <w:pPr>
        <w:pStyle w:val="TableofFigures"/>
        <w:tabs>
          <w:tab w:val="right" w:leader="dot" w:pos="9350"/>
        </w:tabs>
        <w:rPr>
          <w:rFonts w:eastAsiaTheme="minorEastAsia"/>
          <w:noProof/>
          <w:kern w:val="2"/>
          <w:sz w:val="24"/>
          <w:szCs w:val="24"/>
          <w:lang w:val="en-US"/>
          <w14:ligatures w14:val="standardContextual"/>
        </w:rPr>
      </w:pPr>
      <w:hyperlink w:anchor="_Toc162946417" w:history="1">
        <w:r w:rsidRPr="002A7F56">
          <w:rPr>
            <w:rStyle w:val="Hyperlink"/>
            <w:b/>
            <w:noProof/>
          </w:rPr>
          <w:t>Figure 2:</w:t>
        </w:r>
        <w:r w:rsidRPr="002A7F56">
          <w:rPr>
            <w:rStyle w:val="Hyperlink"/>
            <w:noProof/>
          </w:rPr>
          <w:t xml:space="preserve"> July 2023 NRUF of 6YY NPA Consumption</w:t>
        </w:r>
        <w:r>
          <w:rPr>
            <w:noProof/>
            <w:webHidden/>
          </w:rPr>
          <w:tab/>
        </w:r>
        <w:r>
          <w:rPr>
            <w:noProof/>
            <w:webHidden/>
          </w:rPr>
          <w:fldChar w:fldCharType="begin"/>
        </w:r>
        <w:r>
          <w:rPr>
            <w:noProof/>
            <w:webHidden/>
          </w:rPr>
          <w:instrText xml:space="preserve"> PAGEREF _Toc162946417 \h </w:instrText>
        </w:r>
        <w:r>
          <w:rPr>
            <w:noProof/>
            <w:webHidden/>
          </w:rPr>
        </w:r>
        <w:r>
          <w:rPr>
            <w:noProof/>
            <w:webHidden/>
          </w:rPr>
          <w:fldChar w:fldCharType="separate"/>
        </w:r>
        <w:r>
          <w:rPr>
            <w:noProof/>
            <w:webHidden/>
          </w:rPr>
          <w:t>10</w:t>
        </w:r>
        <w:r>
          <w:rPr>
            <w:noProof/>
            <w:webHidden/>
          </w:rPr>
          <w:fldChar w:fldCharType="end"/>
        </w:r>
      </w:hyperlink>
    </w:p>
    <w:p w14:paraId="25230DF2" w14:textId="6C4BB40C" w:rsidR="00E34EFD" w:rsidRDefault="00E34EFD">
      <w:pPr>
        <w:pStyle w:val="TableofFigures"/>
        <w:tabs>
          <w:tab w:val="right" w:leader="dot" w:pos="9350"/>
        </w:tabs>
        <w:rPr>
          <w:rFonts w:eastAsiaTheme="minorEastAsia"/>
          <w:noProof/>
          <w:kern w:val="2"/>
          <w:sz w:val="24"/>
          <w:szCs w:val="24"/>
          <w:lang w:val="en-US"/>
          <w14:ligatures w14:val="standardContextual"/>
        </w:rPr>
      </w:pPr>
      <w:hyperlink w:anchor="_Toc162946418" w:history="1">
        <w:r w:rsidRPr="002A7F56">
          <w:rPr>
            <w:rStyle w:val="Hyperlink"/>
            <w:b/>
            <w:noProof/>
          </w:rPr>
          <w:t>Figure 3</w:t>
        </w:r>
        <w:r w:rsidRPr="002A7F56">
          <w:rPr>
            <w:rStyle w:val="Hyperlink"/>
            <w:noProof/>
          </w:rPr>
          <w:t>: Comparison of NRUF values and current pool of 6YY NPAs</w:t>
        </w:r>
        <w:r>
          <w:rPr>
            <w:noProof/>
            <w:webHidden/>
          </w:rPr>
          <w:tab/>
        </w:r>
        <w:r>
          <w:rPr>
            <w:noProof/>
            <w:webHidden/>
          </w:rPr>
          <w:fldChar w:fldCharType="begin"/>
        </w:r>
        <w:r>
          <w:rPr>
            <w:noProof/>
            <w:webHidden/>
          </w:rPr>
          <w:instrText xml:space="preserve"> PAGEREF _Toc162946418 \h </w:instrText>
        </w:r>
        <w:r>
          <w:rPr>
            <w:noProof/>
            <w:webHidden/>
          </w:rPr>
        </w:r>
        <w:r>
          <w:rPr>
            <w:noProof/>
            <w:webHidden/>
          </w:rPr>
          <w:fldChar w:fldCharType="separate"/>
        </w:r>
        <w:r>
          <w:rPr>
            <w:noProof/>
            <w:webHidden/>
          </w:rPr>
          <w:t>11</w:t>
        </w:r>
        <w:r>
          <w:rPr>
            <w:noProof/>
            <w:webHidden/>
          </w:rPr>
          <w:fldChar w:fldCharType="end"/>
        </w:r>
      </w:hyperlink>
    </w:p>
    <w:p w14:paraId="4CDAB8B5" w14:textId="1B2AE4D6" w:rsidR="00E34EFD" w:rsidRDefault="00E34EFD">
      <w:pPr>
        <w:pStyle w:val="TableofFigures"/>
        <w:tabs>
          <w:tab w:val="right" w:leader="dot" w:pos="9350"/>
        </w:tabs>
        <w:rPr>
          <w:rFonts w:eastAsiaTheme="minorEastAsia"/>
          <w:noProof/>
          <w:kern w:val="2"/>
          <w:sz w:val="24"/>
          <w:szCs w:val="24"/>
          <w:lang w:val="en-US"/>
          <w14:ligatures w14:val="standardContextual"/>
        </w:rPr>
      </w:pPr>
      <w:hyperlink w:anchor="_Toc162946419" w:history="1">
        <w:r w:rsidRPr="002A7F56">
          <w:rPr>
            <w:rStyle w:val="Hyperlink"/>
            <w:b/>
            <w:noProof/>
          </w:rPr>
          <w:t>Figure 4</w:t>
        </w:r>
        <w:r w:rsidRPr="002A7F56">
          <w:rPr>
            <w:rStyle w:val="Hyperlink"/>
            <w:noProof/>
          </w:rPr>
          <w:t>: Mitigation methods for 6YY NPAs</w:t>
        </w:r>
        <w:r>
          <w:rPr>
            <w:noProof/>
            <w:webHidden/>
          </w:rPr>
          <w:tab/>
        </w:r>
        <w:r>
          <w:rPr>
            <w:noProof/>
            <w:webHidden/>
          </w:rPr>
          <w:fldChar w:fldCharType="begin"/>
        </w:r>
        <w:r>
          <w:rPr>
            <w:noProof/>
            <w:webHidden/>
          </w:rPr>
          <w:instrText xml:space="preserve"> PAGEREF _Toc162946419 \h </w:instrText>
        </w:r>
        <w:r>
          <w:rPr>
            <w:noProof/>
            <w:webHidden/>
          </w:rPr>
        </w:r>
        <w:r>
          <w:rPr>
            <w:noProof/>
            <w:webHidden/>
          </w:rPr>
          <w:fldChar w:fldCharType="separate"/>
        </w:r>
        <w:r>
          <w:rPr>
            <w:noProof/>
            <w:webHidden/>
          </w:rPr>
          <w:t>11</w:t>
        </w:r>
        <w:r>
          <w:rPr>
            <w:noProof/>
            <w:webHidden/>
          </w:rPr>
          <w:fldChar w:fldCharType="end"/>
        </w:r>
      </w:hyperlink>
    </w:p>
    <w:p w14:paraId="7DECCFA4" w14:textId="4CED07F7" w:rsidR="00E34EFD" w:rsidRDefault="00E34EFD">
      <w:pPr>
        <w:pStyle w:val="TableofFigures"/>
        <w:tabs>
          <w:tab w:val="right" w:leader="dot" w:pos="9350"/>
        </w:tabs>
        <w:rPr>
          <w:rFonts w:eastAsiaTheme="minorEastAsia"/>
          <w:noProof/>
          <w:kern w:val="2"/>
          <w:sz w:val="24"/>
          <w:szCs w:val="24"/>
          <w:lang w:val="en-US"/>
          <w14:ligatures w14:val="standardContextual"/>
        </w:rPr>
      </w:pPr>
      <w:hyperlink w:anchor="_Toc162946420" w:history="1">
        <w:r w:rsidRPr="002A7F56">
          <w:rPr>
            <w:rStyle w:val="Hyperlink"/>
            <w:b/>
            <w:noProof/>
          </w:rPr>
          <w:t>Figure 5</w:t>
        </w:r>
        <w:r w:rsidRPr="002A7F56">
          <w:rPr>
            <w:rStyle w:val="Hyperlink"/>
            <w:noProof/>
          </w:rPr>
          <w:t>: Calendar of Solutions</w:t>
        </w:r>
        <w:r>
          <w:rPr>
            <w:noProof/>
            <w:webHidden/>
          </w:rPr>
          <w:tab/>
        </w:r>
        <w:r>
          <w:rPr>
            <w:noProof/>
            <w:webHidden/>
          </w:rPr>
          <w:fldChar w:fldCharType="begin"/>
        </w:r>
        <w:r>
          <w:rPr>
            <w:noProof/>
            <w:webHidden/>
          </w:rPr>
          <w:instrText xml:space="preserve"> PAGEREF _Toc162946420 \h </w:instrText>
        </w:r>
        <w:r>
          <w:rPr>
            <w:noProof/>
            <w:webHidden/>
          </w:rPr>
        </w:r>
        <w:r>
          <w:rPr>
            <w:noProof/>
            <w:webHidden/>
          </w:rPr>
          <w:fldChar w:fldCharType="separate"/>
        </w:r>
        <w:r>
          <w:rPr>
            <w:noProof/>
            <w:webHidden/>
          </w:rPr>
          <w:t>21</w:t>
        </w:r>
        <w:r>
          <w:rPr>
            <w:noProof/>
            <w:webHidden/>
          </w:rPr>
          <w:fldChar w:fldCharType="end"/>
        </w:r>
      </w:hyperlink>
    </w:p>
    <w:p w14:paraId="00E6C942" w14:textId="48C54B16" w:rsidR="00E34EFD" w:rsidRDefault="00E34EFD">
      <w:pPr>
        <w:pStyle w:val="TableofFigures"/>
        <w:tabs>
          <w:tab w:val="right" w:leader="dot" w:pos="9350"/>
        </w:tabs>
        <w:rPr>
          <w:rFonts w:eastAsiaTheme="minorEastAsia"/>
          <w:noProof/>
          <w:kern w:val="2"/>
          <w:sz w:val="24"/>
          <w:szCs w:val="24"/>
          <w:lang w:val="en-US"/>
          <w14:ligatures w14:val="standardContextual"/>
        </w:rPr>
      </w:pPr>
      <w:hyperlink w:anchor="_Toc162946421" w:history="1">
        <w:r w:rsidRPr="002A7F56">
          <w:rPr>
            <w:rStyle w:val="Hyperlink"/>
            <w:b/>
            <w:noProof/>
          </w:rPr>
          <w:t>Figure 6:</w:t>
        </w:r>
        <w:r w:rsidRPr="002A7F56">
          <w:rPr>
            <w:rStyle w:val="Hyperlink"/>
            <w:noProof/>
          </w:rPr>
          <w:t xml:space="preserve"> Graph of Extrapolated Demand and Supply</w:t>
        </w:r>
        <w:r>
          <w:rPr>
            <w:noProof/>
            <w:webHidden/>
          </w:rPr>
          <w:tab/>
        </w:r>
        <w:r>
          <w:rPr>
            <w:noProof/>
            <w:webHidden/>
          </w:rPr>
          <w:fldChar w:fldCharType="begin"/>
        </w:r>
        <w:r>
          <w:rPr>
            <w:noProof/>
            <w:webHidden/>
          </w:rPr>
          <w:instrText xml:space="preserve"> PAGEREF _Toc162946421 \h </w:instrText>
        </w:r>
        <w:r>
          <w:rPr>
            <w:noProof/>
            <w:webHidden/>
          </w:rPr>
        </w:r>
        <w:r>
          <w:rPr>
            <w:noProof/>
            <w:webHidden/>
          </w:rPr>
          <w:fldChar w:fldCharType="separate"/>
        </w:r>
        <w:r>
          <w:rPr>
            <w:noProof/>
            <w:webHidden/>
          </w:rPr>
          <w:t>23</w:t>
        </w:r>
        <w:r>
          <w:rPr>
            <w:noProof/>
            <w:webHidden/>
          </w:rPr>
          <w:fldChar w:fldCharType="end"/>
        </w:r>
      </w:hyperlink>
    </w:p>
    <w:p w14:paraId="30C39410" w14:textId="58C8E82D" w:rsidR="00E34EFD" w:rsidRDefault="00E34EFD">
      <w:pPr>
        <w:pStyle w:val="TableofFigures"/>
        <w:tabs>
          <w:tab w:val="right" w:leader="dot" w:pos="9350"/>
        </w:tabs>
        <w:rPr>
          <w:rFonts w:eastAsiaTheme="minorEastAsia"/>
          <w:noProof/>
          <w:kern w:val="2"/>
          <w:sz w:val="24"/>
          <w:szCs w:val="24"/>
          <w:lang w:val="en-US"/>
          <w14:ligatures w14:val="standardContextual"/>
        </w:rPr>
      </w:pPr>
      <w:hyperlink w:anchor="_Toc162946422" w:history="1">
        <w:r w:rsidRPr="002A7F56">
          <w:rPr>
            <w:rStyle w:val="Hyperlink"/>
            <w:b/>
            <w:noProof/>
          </w:rPr>
          <w:t>Figure 7</w:t>
        </w:r>
        <w:r w:rsidRPr="002A7F56">
          <w:rPr>
            <w:rStyle w:val="Hyperlink"/>
            <w:noProof/>
          </w:rPr>
          <w:t>: Terms and Acronyms</w:t>
        </w:r>
        <w:r>
          <w:rPr>
            <w:noProof/>
            <w:webHidden/>
          </w:rPr>
          <w:tab/>
        </w:r>
        <w:r>
          <w:rPr>
            <w:noProof/>
            <w:webHidden/>
          </w:rPr>
          <w:fldChar w:fldCharType="begin"/>
        </w:r>
        <w:r>
          <w:rPr>
            <w:noProof/>
            <w:webHidden/>
          </w:rPr>
          <w:instrText xml:space="preserve"> PAGEREF _Toc162946422 \h </w:instrText>
        </w:r>
        <w:r>
          <w:rPr>
            <w:noProof/>
            <w:webHidden/>
          </w:rPr>
        </w:r>
        <w:r>
          <w:rPr>
            <w:noProof/>
            <w:webHidden/>
          </w:rPr>
          <w:fldChar w:fldCharType="separate"/>
        </w:r>
        <w:r>
          <w:rPr>
            <w:noProof/>
            <w:webHidden/>
          </w:rPr>
          <w:t>25</w:t>
        </w:r>
        <w:r>
          <w:rPr>
            <w:noProof/>
            <w:webHidden/>
          </w:rPr>
          <w:fldChar w:fldCharType="end"/>
        </w:r>
      </w:hyperlink>
    </w:p>
    <w:p w14:paraId="5A13EE4C" w14:textId="74128E22" w:rsidR="00E34EFD" w:rsidRDefault="00E34EFD">
      <w:pPr>
        <w:pStyle w:val="TableofFigures"/>
        <w:tabs>
          <w:tab w:val="right" w:leader="dot" w:pos="9350"/>
        </w:tabs>
        <w:rPr>
          <w:rFonts w:eastAsiaTheme="minorEastAsia"/>
          <w:noProof/>
          <w:kern w:val="2"/>
          <w:sz w:val="24"/>
          <w:szCs w:val="24"/>
          <w:lang w:val="en-US"/>
          <w14:ligatures w14:val="standardContextual"/>
        </w:rPr>
      </w:pPr>
      <w:hyperlink w:anchor="_Toc162946423" w:history="1">
        <w:r w:rsidRPr="002A7F56">
          <w:rPr>
            <w:rStyle w:val="Hyperlink"/>
            <w:b/>
            <w:noProof/>
          </w:rPr>
          <w:t>Figure 8</w:t>
        </w:r>
        <w:r w:rsidRPr="002A7F56">
          <w:rPr>
            <w:rStyle w:val="Hyperlink"/>
            <w:noProof/>
          </w:rPr>
          <w:t>: Contributions</w:t>
        </w:r>
        <w:r>
          <w:rPr>
            <w:noProof/>
            <w:webHidden/>
          </w:rPr>
          <w:tab/>
        </w:r>
        <w:r>
          <w:rPr>
            <w:noProof/>
            <w:webHidden/>
          </w:rPr>
          <w:fldChar w:fldCharType="begin"/>
        </w:r>
        <w:r>
          <w:rPr>
            <w:noProof/>
            <w:webHidden/>
          </w:rPr>
          <w:instrText xml:space="preserve"> PAGEREF _Toc162946423 \h </w:instrText>
        </w:r>
        <w:r>
          <w:rPr>
            <w:noProof/>
            <w:webHidden/>
          </w:rPr>
        </w:r>
        <w:r>
          <w:rPr>
            <w:noProof/>
            <w:webHidden/>
          </w:rPr>
          <w:fldChar w:fldCharType="separate"/>
        </w:r>
        <w:r>
          <w:rPr>
            <w:noProof/>
            <w:webHidden/>
          </w:rPr>
          <w:t>28</w:t>
        </w:r>
        <w:r>
          <w:rPr>
            <w:noProof/>
            <w:webHidden/>
          </w:rPr>
          <w:fldChar w:fldCharType="end"/>
        </w:r>
      </w:hyperlink>
    </w:p>
    <w:p w14:paraId="49A9BFB3" w14:textId="5926FEE0" w:rsidR="00E34EFD" w:rsidRDefault="00E34EFD">
      <w:pPr>
        <w:pStyle w:val="TableofFigures"/>
        <w:tabs>
          <w:tab w:val="right" w:leader="dot" w:pos="9350"/>
        </w:tabs>
        <w:rPr>
          <w:rFonts w:eastAsiaTheme="minorEastAsia"/>
          <w:noProof/>
          <w:kern w:val="2"/>
          <w:sz w:val="24"/>
          <w:szCs w:val="24"/>
          <w:lang w:val="en-US"/>
          <w14:ligatures w14:val="standardContextual"/>
        </w:rPr>
      </w:pPr>
      <w:hyperlink w:anchor="_Toc162946424" w:history="1">
        <w:r w:rsidRPr="002A7F56">
          <w:rPr>
            <w:rStyle w:val="Hyperlink"/>
            <w:b/>
            <w:noProof/>
          </w:rPr>
          <w:t>Figure 9</w:t>
        </w:r>
        <w:r w:rsidRPr="002A7F56">
          <w:rPr>
            <w:rStyle w:val="Hyperlink"/>
            <w:noProof/>
          </w:rPr>
          <w:t>: CSCN TIF 112 Participants</w:t>
        </w:r>
        <w:r>
          <w:rPr>
            <w:noProof/>
            <w:webHidden/>
          </w:rPr>
          <w:tab/>
        </w:r>
        <w:r>
          <w:rPr>
            <w:noProof/>
            <w:webHidden/>
          </w:rPr>
          <w:fldChar w:fldCharType="begin"/>
        </w:r>
        <w:r>
          <w:rPr>
            <w:noProof/>
            <w:webHidden/>
          </w:rPr>
          <w:instrText xml:space="preserve"> PAGEREF _Toc162946424 \h </w:instrText>
        </w:r>
        <w:r>
          <w:rPr>
            <w:noProof/>
            <w:webHidden/>
          </w:rPr>
        </w:r>
        <w:r>
          <w:rPr>
            <w:noProof/>
            <w:webHidden/>
          </w:rPr>
          <w:fldChar w:fldCharType="separate"/>
        </w:r>
        <w:r>
          <w:rPr>
            <w:noProof/>
            <w:webHidden/>
          </w:rPr>
          <w:t>29</w:t>
        </w:r>
        <w:r>
          <w:rPr>
            <w:noProof/>
            <w:webHidden/>
          </w:rPr>
          <w:fldChar w:fldCharType="end"/>
        </w:r>
      </w:hyperlink>
    </w:p>
    <w:p w14:paraId="102C0F58" w14:textId="5FAFC052" w:rsidR="00E34EFD" w:rsidRDefault="00E34EFD">
      <w:pPr>
        <w:pStyle w:val="TableofFigures"/>
        <w:tabs>
          <w:tab w:val="right" w:leader="dot" w:pos="9350"/>
        </w:tabs>
        <w:rPr>
          <w:rFonts w:eastAsiaTheme="minorEastAsia"/>
          <w:noProof/>
          <w:kern w:val="2"/>
          <w:sz w:val="24"/>
          <w:szCs w:val="24"/>
          <w:lang w:val="en-US"/>
          <w14:ligatures w14:val="standardContextual"/>
        </w:rPr>
      </w:pPr>
      <w:hyperlink w:anchor="_Toc162946425" w:history="1">
        <w:r w:rsidRPr="002A7F56">
          <w:rPr>
            <w:rStyle w:val="Hyperlink"/>
            <w:b/>
            <w:noProof/>
          </w:rPr>
          <w:t>Figure 10</w:t>
        </w:r>
        <w:r w:rsidRPr="002A7F56">
          <w:rPr>
            <w:rStyle w:val="Hyperlink"/>
            <w:noProof/>
          </w:rPr>
          <w:t>: NTWG Participants</w:t>
        </w:r>
        <w:r>
          <w:rPr>
            <w:noProof/>
            <w:webHidden/>
          </w:rPr>
          <w:tab/>
        </w:r>
        <w:r>
          <w:rPr>
            <w:noProof/>
            <w:webHidden/>
          </w:rPr>
          <w:fldChar w:fldCharType="begin"/>
        </w:r>
        <w:r>
          <w:rPr>
            <w:noProof/>
            <w:webHidden/>
          </w:rPr>
          <w:instrText xml:space="preserve"> PAGEREF _Toc162946425 \h </w:instrText>
        </w:r>
        <w:r>
          <w:rPr>
            <w:noProof/>
            <w:webHidden/>
          </w:rPr>
        </w:r>
        <w:r>
          <w:rPr>
            <w:noProof/>
            <w:webHidden/>
          </w:rPr>
          <w:fldChar w:fldCharType="separate"/>
        </w:r>
        <w:r>
          <w:rPr>
            <w:noProof/>
            <w:webHidden/>
          </w:rPr>
          <w:t>30</w:t>
        </w:r>
        <w:r>
          <w:rPr>
            <w:noProof/>
            <w:webHidden/>
          </w:rPr>
          <w:fldChar w:fldCharType="end"/>
        </w:r>
      </w:hyperlink>
    </w:p>
    <w:p w14:paraId="74DF7656" w14:textId="77777777" w:rsidR="00896D01" w:rsidRDefault="00434F87">
      <w:pPr>
        <w:rPr>
          <w:rFonts w:ascii="Arial" w:eastAsiaTheme="majorEastAsia" w:hAnsi="Arial" w:cstheme="majorBidi"/>
          <w:color w:val="2F5496" w:themeColor="accent1" w:themeShade="BF"/>
          <w:sz w:val="24"/>
          <w:szCs w:val="24"/>
        </w:rPr>
      </w:pPr>
      <w:r>
        <w:rPr>
          <w:rFonts w:ascii="Arial" w:eastAsiaTheme="majorEastAsia" w:hAnsi="Arial" w:cstheme="majorBidi"/>
          <w:color w:val="2F5496" w:themeColor="accent1" w:themeShade="BF"/>
          <w:sz w:val="24"/>
          <w:szCs w:val="24"/>
        </w:rPr>
        <w:fldChar w:fldCharType="end"/>
      </w:r>
    </w:p>
    <w:p w14:paraId="4AA45FA8" w14:textId="531DF099" w:rsidR="00EA28A4" w:rsidRPr="00611DCA" w:rsidRDefault="00160DB7" w:rsidP="00DC3D5B">
      <w:pPr>
        <w:tabs>
          <w:tab w:val="left" w:pos="6461"/>
        </w:tabs>
        <w:rPr>
          <w:rFonts w:ascii="Arial" w:hAnsi="Arial"/>
          <w:sz w:val="24"/>
          <w:szCs w:val="24"/>
        </w:rPr>
      </w:pPr>
      <w:r>
        <w:rPr>
          <w:rFonts w:ascii="Arial" w:hAnsi="Arial"/>
          <w:sz w:val="24"/>
          <w:szCs w:val="24"/>
        </w:rPr>
        <w:tab/>
      </w:r>
      <w:r w:rsidR="00434F87" w:rsidRPr="00160DB7">
        <w:rPr>
          <w:rFonts w:ascii="Arial" w:hAnsi="Arial"/>
          <w:sz w:val="24"/>
          <w:szCs w:val="24"/>
        </w:rPr>
        <w:br w:type="page"/>
      </w:r>
      <w:bookmarkStart w:id="2" w:name="_Toc156387026"/>
      <w:r w:rsidR="00EA28A4" w:rsidRPr="00611DCA">
        <w:rPr>
          <w:rFonts w:ascii="Arial" w:hAnsi="Arial"/>
          <w:sz w:val="24"/>
          <w:szCs w:val="24"/>
        </w:rPr>
        <w:lastRenderedPageBreak/>
        <w:t>Executive Summary</w:t>
      </w:r>
      <w:bookmarkEnd w:id="1"/>
      <w:bookmarkEnd w:id="2"/>
      <w:r w:rsidR="007A2CD5">
        <w:rPr>
          <w:rFonts w:ascii="Arial" w:hAnsi="Arial"/>
          <w:sz w:val="24"/>
          <w:szCs w:val="24"/>
        </w:rPr>
        <w:t xml:space="preserve"> </w:t>
      </w:r>
      <w:r w:rsidR="00611DCA">
        <w:rPr>
          <w:rFonts w:ascii="Arial" w:hAnsi="Arial"/>
          <w:sz w:val="24"/>
          <w:szCs w:val="24"/>
        </w:rPr>
        <w:br/>
      </w:r>
    </w:p>
    <w:p w14:paraId="2ED4C406" w14:textId="77777777" w:rsidR="00184ECF" w:rsidRDefault="00F57596" w:rsidP="001351F2">
      <w:pPr>
        <w:ind w:left="360"/>
        <w:rPr>
          <w:rFonts w:ascii="Arial" w:hAnsi="Arial" w:cs="Arial"/>
          <w:color w:val="000000"/>
        </w:rPr>
      </w:pPr>
      <w:r>
        <w:rPr>
          <w:rFonts w:ascii="Arial" w:hAnsi="Arial" w:cs="Arial"/>
        </w:rPr>
        <w:t xml:space="preserve">In mid-2022, the Canadian Numbering Administrator (CNA) </w:t>
      </w:r>
      <w:r w:rsidR="00A66B3D">
        <w:rPr>
          <w:rFonts w:ascii="Arial" w:hAnsi="Arial" w:cs="Arial"/>
        </w:rPr>
        <w:t xml:space="preserve">compiled an updated Non-Geographic (6YY) Numbering Resource Utilization Forecast (NRUF) based upon industry input.  This NRUF indicated a significant acceleration of the rate of 6YY numbering block assignments which would exhaust the pool of available 6YY Area Codes or NPAs.  The </w:t>
      </w:r>
      <w:r w:rsidR="00292304">
        <w:rPr>
          <w:rFonts w:ascii="Arial" w:hAnsi="Arial" w:cs="Arial"/>
        </w:rPr>
        <w:t>CNA</w:t>
      </w:r>
      <w:r w:rsidR="00A66B3D">
        <w:rPr>
          <w:rFonts w:ascii="Arial" w:hAnsi="Arial" w:cs="Arial"/>
        </w:rPr>
        <w:t xml:space="preserve"> proposed actions which CRTC Staff approved and CSCN TIF 112, “</w:t>
      </w:r>
      <w:r w:rsidR="00A66B3D" w:rsidRPr="005856D7">
        <w:rPr>
          <w:rFonts w:ascii="Arial" w:hAnsi="Arial" w:cs="Arial"/>
          <w:i/>
          <w:iCs/>
          <w:color w:val="000000"/>
        </w:rPr>
        <w:t>Address assignment rate of Non-Geographic (6YY) CO Codes</w:t>
      </w:r>
      <w:r w:rsidR="00A66B3D">
        <w:rPr>
          <w:rFonts w:ascii="Arial" w:hAnsi="Arial" w:cs="Arial"/>
          <w:color w:val="000000"/>
        </w:rPr>
        <w:t>,</w:t>
      </w:r>
      <w:r w:rsidR="00A66B3D" w:rsidRPr="005856D7">
        <w:rPr>
          <w:rFonts w:ascii="Arial" w:hAnsi="Arial" w:cs="Arial"/>
          <w:color w:val="000000"/>
        </w:rPr>
        <w:t>”</w:t>
      </w:r>
      <w:r w:rsidR="00A66B3D">
        <w:rPr>
          <w:rFonts w:ascii="Arial" w:hAnsi="Arial" w:cs="Arial"/>
          <w:color w:val="000000"/>
        </w:rPr>
        <w:t xml:space="preserve"> was opened.  The CSCN met frequently to</w:t>
      </w:r>
      <w:r w:rsidR="00A66B3D">
        <w:rPr>
          <w:rFonts w:ascii="Arial" w:hAnsi="Arial" w:cs="Arial"/>
          <w:color w:val="000000"/>
        </w:rPr>
        <w:t xml:space="preserve"> </w:t>
      </w:r>
      <w:r w:rsidR="00832FBA">
        <w:rPr>
          <w:rFonts w:ascii="Arial" w:hAnsi="Arial" w:cs="Arial"/>
          <w:color w:val="000000"/>
        </w:rPr>
        <w:t>review</w:t>
      </w:r>
      <w:r w:rsidR="00832FBA">
        <w:rPr>
          <w:rFonts w:ascii="Arial" w:hAnsi="Arial" w:cs="Arial"/>
          <w:color w:val="000000"/>
        </w:rPr>
        <w:t xml:space="preserve"> </w:t>
      </w:r>
      <w:r w:rsidR="00A66B3D">
        <w:rPr>
          <w:rFonts w:ascii="Arial" w:hAnsi="Arial" w:cs="Arial"/>
          <w:color w:val="000000"/>
        </w:rPr>
        <w:t xml:space="preserve">proposed solutions requested by TIF 112 and solicited technical input from the NTWG which opened TIF 43 and provided it.  This report adopts information and recommendations from both CSCN TIF 112 and NTWG TIF 43. </w:t>
      </w:r>
      <w:r w:rsidR="001C5509">
        <w:rPr>
          <w:rFonts w:ascii="Arial" w:hAnsi="Arial" w:cs="Arial"/>
          <w:color w:val="000000"/>
        </w:rPr>
        <w:t xml:space="preserve"> </w:t>
      </w:r>
    </w:p>
    <w:p w14:paraId="24CAB92C" w14:textId="4F4DDE9E" w:rsidR="008C1152" w:rsidRPr="00DC3D5B" w:rsidRDefault="008C1152" w:rsidP="00DC3D5B">
      <w:pPr>
        <w:ind w:left="316"/>
        <w:rPr>
          <w:rFonts w:ascii="Arial" w:hAnsi="Arial"/>
        </w:rPr>
      </w:pPr>
      <w:r w:rsidRPr="00131700">
        <w:rPr>
          <w:rFonts w:ascii="Arial" w:hAnsi="Arial" w:cs="Arial"/>
        </w:rPr>
        <w:t>The growth of IoT/M2M services is high and forecasts vary from year to year.  This places a high demand on IoT/M2M numbering resources</w:t>
      </w:r>
      <w:r>
        <w:rPr>
          <w:rFonts w:ascii="Arial" w:hAnsi="Arial" w:cs="Arial"/>
        </w:rPr>
        <w:t xml:space="preserve"> and requires that any recommendations consider the possibility that demand may increase beyond currently forecasted levels.  In addition, fundamental changes to the entire North American Numbering Plan (NANP) are expected to take effect by 2051, to accommodate rapid demand for geographic and non-geographic numbers.  Exactly what those changes will be and when they must be implemented are currently unknown. </w:t>
      </w:r>
    </w:p>
    <w:p w14:paraId="753BE8DA" w14:textId="0F42273E" w:rsidR="00A66B3D" w:rsidRPr="008C1152" w:rsidRDefault="00A66B3D" w:rsidP="001351F2">
      <w:pPr>
        <w:ind w:left="360"/>
        <w:rPr>
          <w:rFonts w:ascii="Arial" w:hAnsi="Arial" w:cs="Arial"/>
          <w:color w:val="000000"/>
        </w:rPr>
      </w:pPr>
      <w:r w:rsidRPr="0091791B">
        <w:rPr>
          <w:rFonts w:ascii="Arial" w:hAnsi="Arial" w:cs="Arial"/>
          <w:color w:val="000000"/>
        </w:rPr>
        <w:t xml:space="preserve">The following options </w:t>
      </w:r>
      <w:r w:rsidR="004275C6" w:rsidRPr="008C1152">
        <w:rPr>
          <w:rFonts w:ascii="Arial" w:hAnsi="Arial" w:cs="Arial"/>
          <w:color w:val="000000"/>
        </w:rPr>
        <w:t>are</w:t>
      </w:r>
      <w:r w:rsidRPr="008C1152">
        <w:rPr>
          <w:rFonts w:ascii="Arial" w:hAnsi="Arial" w:cs="Arial"/>
          <w:color w:val="000000"/>
        </w:rPr>
        <w:t xml:space="preserve"> </w:t>
      </w:r>
      <w:r w:rsidR="004275C6" w:rsidRPr="008C1152">
        <w:rPr>
          <w:rFonts w:ascii="Arial" w:hAnsi="Arial" w:cs="Arial"/>
          <w:color w:val="000000"/>
        </w:rPr>
        <w:t>discussed</w:t>
      </w:r>
      <w:r w:rsidRPr="008C1152">
        <w:rPr>
          <w:rFonts w:ascii="Arial" w:hAnsi="Arial" w:cs="Arial"/>
          <w:color w:val="000000"/>
        </w:rPr>
        <w:t xml:space="preserve"> and analyzed: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4275C6" w:rsidRPr="008C1152" w14:paraId="1CBD4BF7" w14:textId="77777777" w:rsidTr="00F00180">
        <w:tc>
          <w:tcPr>
            <w:tcW w:w="9214" w:type="dxa"/>
          </w:tcPr>
          <w:p w14:paraId="1660DAF9" w14:textId="77777777" w:rsidR="004275C6" w:rsidRPr="00F00180" w:rsidRDefault="004275C6" w:rsidP="001351F2">
            <w:pPr>
              <w:pStyle w:val="ListParagraph"/>
              <w:numPr>
                <w:ilvl w:val="0"/>
                <w:numId w:val="45"/>
              </w:numPr>
              <w:spacing w:after="120"/>
              <w:rPr>
                <w:rFonts w:ascii="Arial" w:hAnsi="Arial"/>
                <w:sz w:val="22"/>
                <w:lang w:val="en-CA"/>
              </w:rPr>
            </w:pPr>
            <w:r w:rsidRPr="00F00180">
              <w:rPr>
                <w:rFonts w:ascii="Arial" w:hAnsi="Arial"/>
                <w:sz w:val="22"/>
                <w:lang w:val="en-CA"/>
              </w:rPr>
              <w:t>Obtain Additional Non-Geographic NPAs</w:t>
            </w:r>
          </w:p>
        </w:tc>
      </w:tr>
      <w:tr w:rsidR="004275C6" w:rsidRPr="008C1152" w14:paraId="2463F462" w14:textId="77777777" w:rsidTr="00F00180">
        <w:tc>
          <w:tcPr>
            <w:tcW w:w="9214" w:type="dxa"/>
          </w:tcPr>
          <w:p w14:paraId="2517FD7A" w14:textId="77777777" w:rsidR="004275C6" w:rsidRPr="00F00180" w:rsidRDefault="004275C6" w:rsidP="001351F2">
            <w:pPr>
              <w:pStyle w:val="ListParagraph"/>
              <w:numPr>
                <w:ilvl w:val="0"/>
                <w:numId w:val="45"/>
              </w:numPr>
              <w:spacing w:after="120"/>
              <w:rPr>
                <w:rFonts w:ascii="Arial" w:hAnsi="Arial"/>
                <w:sz w:val="22"/>
                <w:lang w:val="en-CA"/>
              </w:rPr>
            </w:pPr>
            <w:r w:rsidRPr="00F00180">
              <w:rPr>
                <w:rFonts w:ascii="Arial" w:hAnsi="Arial"/>
                <w:sz w:val="22"/>
                <w:lang w:val="en-CA"/>
              </w:rPr>
              <w:t xml:space="preserve">Utilize 010 NPAs </w:t>
            </w:r>
          </w:p>
        </w:tc>
      </w:tr>
      <w:tr w:rsidR="004275C6" w:rsidRPr="008C1152" w14:paraId="7197D64D" w14:textId="77777777" w:rsidTr="00F00180">
        <w:tc>
          <w:tcPr>
            <w:tcW w:w="9214" w:type="dxa"/>
          </w:tcPr>
          <w:p w14:paraId="29A31CE2" w14:textId="77777777" w:rsidR="004275C6" w:rsidRPr="00F00180" w:rsidRDefault="004275C6" w:rsidP="001351F2">
            <w:pPr>
              <w:pStyle w:val="ListParagraph"/>
              <w:numPr>
                <w:ilvl w:val="0"/>
                <w:numId w:val="45"/>
              </w:numPr>
              <w:spacing w:after="120"/>
              <w:rPr>
                <w:rFonts w:ascii="Arial" w:hAnsi="Arial"/>
                <w:sz w:val="22"/>
                <w:lang w:val="en-CA"/>
              </w:rPr>
            </w:pPr>
            <w:r w:rsidRPr="00F00180">
              <w:rPr>
                <w:rFonts w:ascii="Arial" w:hAnsi="Arial"/>
                <w:sz w:val="22"/>
                <w:lang w:val="en-CA"/>
              </w:rPr>
              <w:t>Alternative numbering scheme</w:t>
            </w:r>
            <w:r w:rsidRPr="00F00180" w:rsidDel="006D54AD">
              <w:rPr>
                <w:rFonts w:ascii="Arial" w:hAnsi="Arial"/>
                <w:sz w:val="22"/>
                <w:lang w:val="en-CA"/>
              </w:rPr>
              <w:t xml:space="preserve"> </w:t>
            </w:r>
          </w:p>
        </w:tc>
      </w:tr>
      <w:tr w:rsidR="004275C6" w:rsidRPr="008C1152" w14:paraId="091F2A00" w14:textId="77777777" w:rsidTr="00F00180">
        <w:tc>
          <w:tcPr>
            <w:tcW w:w="9214" w:type="dxa"/>
          </w:tcPr>
          <w:p w14:paraId="69053DC2" w14:textId="77777777" w:rsidR="004275C6" w:rsidRPr="00F00180" w:rsidRDefault="004275C6" w:rsidP="001351F2">
            <w:pPr>
              <w:pStyle w:val="ListParagraph"/>
              <w:numPr>
                <w:ilvl w:val="0"/>
                <w:numId w:val="45"/>
              </w:numPr>
              <w:spacing w:after="120"/>
              <w:rPr>
                <w:rFonts w:ascii="Arial" w:hAnsi="Arial"/>
                <w:sz w:val="22"/>
                <w:lang w:val="en-CA"/>
              </w:rPr>
            </w:pPr>
            <w:r w:rsidRPr="00F00180">
              <w:rPr>
                <w:rFonts w:ascii="Arial" w:hAnsi="Arial"/>
                <w:sz w:val="22"/>
                <w:lang w:val="en-CA"/>
              </w:rPr>
              <w:t>Partition NPA 600</w:t>
            </w:r>
          </w:p>
        </w:tc>
      </w:tr>
      <w:tr w:rsidR="004275C6" w:rsidRPr="008C1152" w14:paraId="5252404B" w14:textId="77777777" w:rsidTr="00F00180">
        <w:tc>
          <w:tcPr>
            <w:tcW w:w="9214" w:type="dxa"/>
          </w:tcPr>
          <w:p w14:paraId="0B9AF268" w14:textId="6F022827" w:rsidR="004275C6" w:rsidRPr="00F00180" w:rsidRDefault="004275C6" w:rsidP="001351F2">
            <w:pPr>
              <w:pStyle w:val="ListParagraph"/>
              <w:numPr>
                <w:ilvl w:val="0"/>
                <w:numId w:val="45"/>
              </w:numPr>
              <w:spacing w:after="120"/>
              <w:rPr>
                <w:rFonts w:ascii="Arial" w:hAnsi="Arial"/>
                <w:sz w:val="22"/>
                <w:lang w:val="en-CA"/>
              </w:rPr>
            </w:pPr>
            <w:r w:rsidRPr="00F00180">
              <w:rPr>
                <w:rFonts w:ascii="Arial" w:hAnsi="Arial"/>
                <w:sz w:val="22"/>
                <w:lang w:val="en-CA"/>
              </w:rPr>
              <w:t xml:space="preserve">Remove N11 and 555 </w:t>
            </w:r>
            <w:r w:rsidR="00061027" w:rsidRPr="008C1152">
              <w:rPr>
                <w:rFonts w:ascii="Arial" w:hAnsi="Arial" w:cs="Arial"/>
                <w:sz w:val="22"/>
                <w:szCs w:val="22"/>
              </w:rPr>
              <w:t xml:space="preserve">NXX </w:t>
            </w:r>
            <w:r w:rsidR="00B933CB" w:rsidRPr="00F00180">
              <w:rPr>
                <w:rFonts w:ascii="Arial" w:hAnsi="Arial"/>
                <w:sz w:val="22"/>
                <w:lang w:val="en-CA"/>
              </w:rPr>
              <w:t>restrictions</w:t>
            </w:r>
            <w:r w:rsidRPr="00F00180">
              <w:rPr>
                <w:rFonts w:ascii="Arial" w:hAnsi="Arial"/>
                <w:sz w:val="22"/>
                <w:lang w:val="en-CA"/>
              </w:rPr>
              <w:t xml:space="preserve"> in 6YY </w:t>
            </w:r>
            <w:r w:rsidR="00061027" w:rsidRPr="008C1152">
              <w:rPr>
                <w:rFonts w:ascii="Arial" w:hAnsi="Arial" w:cs="Arial"/>
                <w:sz w:val="22"/>
                <w:szCs w:val="22"/>
              </w:rPr>
              <w:t>NPAs</w:t>
            </w:r>
          </w:p>
        </w:tc>
      </w:tr>
      <w:tr w:rsidR="004275C6" w:rsidRPr="008C1152" w14:paraId="24507EAC" w14:textId="77777777" w:rsidTr="00F00180">
        <w:tc>
          <w:tcPr>
            <w:tcW w:w="9214" w:type="dxa"/>
          </w:tcPr>
          <w:p w14:paraId="38796626" w14:textId="77777777" w:rsidR="004275C6" w:rsidRPr="00F00180" w:rsidRDefault="004275C6" w:rsidP="001351F2">
            <w:pPr>
              <w:pStyle w:val="ListParagraph"/>
              <w:numPr>
                <w:ilvl w:val="0"/>
                <w:numId w:val="45"/>
              </w:numPr>
              <w:spacing w:after="120"/>
              <w:rPr>
                <w:rFonts w:ascii="Arial" w:hAnsi="Arial"/>
                <w:sz w:val="22"/>
                <w:lang w:val="en-CA"/>
              </w:rPr>
            </w:pPr>
            <w:r w:rsidRPr="00F00180">
              <w:rPr>
                <w:rFonts w:ascii="Arial" w:hAnsi="Arial"/>
                <w:sz w:val="22"/>
                <w:lang w:val="en-CA"/>
              </w:rPr>
              <w:t>New IoT/M2M Network Addressing Standards</w:t>
            </w:r>
          </w:p>
        </w:tc>
      </w:tr>
      <w:tr w:rsidR="004275C6" w:rsidRPr="008C1152" w14:paraId="6A72C718" w14:textId="77777777" w:rsidTr="00F00180">
        <w:tc>
          <w:tcPr>
            <w:tcW w:w="9214" w:type="dxa"/>
          </w:tcPr>
          <w:p w14:paraId="691875F9" w14:textId="2472BF24" w:rsidR="004275C6" w:rsidRPr="00625151" w:rsidRDefault="004275C6" w:rsidP="00F00180">
            <w:pPr>
              <w:pStyle w:val="ListParagraph"/>
              <w:numPr>
                <w:ilvl w:val="0"/>
                <w:numId w:val="45"/>
              </w:numPr>
              <w:spacing w:after="120"/>
              <w:rPr>
                <w:rFonts w:ascii="Arial" w:hAnsi="Arial" w:cs="Arial"/>
              </w:rPr>
            </w:pPr>
            <w:r w:rsidRPr="00625151">
              <w:rPr>
                <w:rFonts w:ascii="Arial" w:hAnsi="Arial" w:cs="Arial"/>
                <w:sz w:val="22"/>
                <w:szCs w:val="22"/>
                <w:lang w:val="en-CA"/>
              </w:rPr>
              <w:t xml:space="preserve">Extended 6YY NPAs </w:t>
            </w:r>
            <w:r w:rsidRPr="00625151">
              <w:rPr>
                <w:rFonts w:ascii="Arial" w:hAnsi="Arial" w:cs="Arial"/>
                <w:sz w:val="22"/>
                <w:szCs w:val="22"/>
                <w:lang w:val="en-CA"/>
              </w:rPr>
              <w:br/>
            </w:r>
          </w:p>
        </w:tc>
      </w:tr>
    </w:tbl>
    <w:p w14:paraId="730A229D" w14:textId="0D9AA2F2" w:rsidR="00C67B1B" w:rsidRDefault="008C1152" w:rsidP="00C67B1B">
      <w:pPr>
        <w:ind w:left="316"/>
        <w:rPr>
          <w:rFonts w:ascii="Arial" w:hAnsi="Arial" w:cs="Arial"/>
        </w:rPr>
      </w:pPr>
      <w:r>
        <w:rPr>
          <w:rFonts w:ascii="Arial" w:hAnsi="Arial" w:cs="Arial"/>
        </w:rPr>
        <w:t>There is consensus that Option 7 i</w:t>
      </w:r>
      <w:r w:rsidR="00C67B1B">
        <w:rPr>
          <w:rFonts w:ascii="Arial" w:hAnsi="Arial" w:cs="Arial"/>
        </w:rPr>
        <w:t xml:space="preserve">s the </w:t>
      </w:r>
      <w:r w:rsidR="00936895">
        <w:rPr>
          <w:rFonts w:ascii="Arial" w:hAnsi="Arial" w:cs="Arial"/>
        </w:rPr>
        <w:t>best</w:t>
      </w:r>
      <w:r w:rsidR="00C67B1B">
        <w:rPr>
          <w:rFonts w:ascii="Arial" w:hAnsi="Arial" w:cs="Arial"/>
        </w:rPr>
        <w:t xml:space="preserve"> solution</w:t>
      </w:r>
      <w:r w:rsidR="00936895">
        <w:rPr>
          <w:rFonts w:ascii="Arial" w:hAnsi="Arial" w:cs="Arial"/>
        </w:rPr>
        <w:t xml:space="preserve"> for the long term</w:t>
      </w:r>
      <w:r w:rsidR="00141FFD">
        <w:rPr>
          <w:rFonts w:ascii="Arial" w:hAnsi="Arial" w:cs="Arial"/>
        </w:rPr>
        <w:t xml:space="preserve">, as it </w:t>
      </w:r>
      <w:r>
        <w:rPr>
          <w:rFonts w:ascii="Arial" w:hAnsi="Arial" w:cs="Arial"/>
        </w:rPr>
        <w:t>would increase supply</w:t>
      </w:r>
      <w:r w:rsidR="00141FFD">
        <w:rPr>
          <w:rFonts w:ascii="Arial" w:hAnsi="Arial" w:cs="Arial"/>
        </w:rPr>
        <w:t xml:space="preserve"> sufficiently</w:t>
      </w:r>
      <w:r>
        <w:rPr>
          <w:rFonts w:ascii="Arial" w:hAnsi="Arial" w:cs="Arial"/>
        </w:rPr>
        <w:t xml:space="preserve"> to co</w:t>
      </w:r>
      <w:r w:rsidR="00141FFD">
        <w:rPr>
          <w:rFonts w:ascii="Arial" w:hAnsi="Arial" w:cs="Arial"/>
        </w:rPr>
        <w:t>mfortably meet demand until the anticipated NANP expansion (NANPE).  However, f</w:t>
      </w:r>
      <w:r w:rsidR="00C67B1B">
        <w:rPr>
          <w:rFonts w:ascii="Arial" w:hAnsi="Arial" w:cs="Arial"/>
        </w:rPr>
        <w:t xml:space="preserve">urther industry discussion is required before the various alternatives within Option 7 can be </w:t>
      </w:r>
      <w:r w:rsidR="003A0896">
        <w:rPr>
          <w:rFonts w:ascii="Arial" w:hAnsi="Arial" w:cs="Arial"/>
        </w:rPr>
        <w:t>recommended</w:t>
      </w:r>
      <w:r w:rsidR="00C67B1B">
        <w:rPr>
          <w:rFonts w:ascii="Arial" w:hAnsi="Arial" w:cs="Arial"/>
        </w:rPr>
        <w:t xml:space="preserve">.  Nonetheless, consensus was reached to reserve NPA 677 and NPA 688 for extended digit formats </w:t>
      </w:r>
      <w:proofErr w:type="gramStart"/>
      <w:r w:rsidR="00C67B1B">
        <w:rPr>
          <w:rFonts w:ascii="Arial" w:hAnsi="Arial" w:cs="Arial"/>
        </w:rPr>
        <w:t>and also</w:t>
      </w:r>
      <w:proofErr w:type="gramEnd"/>
      <w:r w:rsidR="00C67B1B">
        <w:rPr>
          <w:rFonts w:ascii="Arial" w:hAnsi="Arial" w:cs="Arial"/>
        </w:rPr>
        <w:t xml:space="preserve"> to implement two partial solutions that will make additional 6YY NXXs available prior to the implementation of the long-term solution. </w:t>
      </w:r>
    </w:p>
    <w:p w14:paraId="3636A516" w14:textId="77777777" w:rsidR="00A802DE" w:rsidRDefault="00A802DE">
      <w:pPr>
        <w:rPr>
          <w:rFonts w:ascii="Arial" w:hAnsi="Arial" w:cs="Arial"/>
        </w:rPr>
      </w:pPr>
      <w:r>
        <w:rPr>
          <w:rFonts w:ascii="Arial" w:hAnsi="Arial" w:cs="Arial"/>
        </w:rPr>
        <w:br w:type="page"/>
      </w:r>
    </w:p>
    <w:p w14:paraId="0E098335" w14:textId="31B37D0F" w:rsidR="00C67B1B" w:rsidRPr="003948CF" w:rsidRDefault="00C67B1B" w:rsidP="00C67B1B">
      <w:pPr>
        <w:ind w:left="316"/>
        <w:rPr>
          <w:rFonts w:ascii="Arial" w:hAnsi="Arial" w:cs="Arial"/>
          <w:lang w:val="en-US"/>
        </w:rPr>
      </w:pPr>
      <w:r w:rsidRPr="00131700">
        <w:rPr>
          <w:rFonts w:ascii="Arial" w:hAnsi="Arial" w:cs="Arial"/>
        </w:rPr>
        <w:lastRenderedPageBreak/>
        <w:t xml:space="preserve">Given the </w:t>
      </w:r>
      <w:r>
        <w:rPr>
          <w:rFonts w:ascii="Arial" w:hAnsi="Arial" w:cs="Arial"/>
        </w:rPr>
        <w:t xml:space="preserve">technical and </w:t>
      </w:r>
      <w:r w:rsidRPr="00131700">
        <w:rPr>
          <w:rFonts w:ascii="Arial" w:hAnsi="Arial" w:cs="Arial"/>
        </w:rPr>
        <w:t xml:space="preserve">timing constraints of </w:t>
      </w:r>
      <w:r>
        <w:rPr>
          <w:rFonts w:ascii="Arial" w:hAnsi="Arial" w:cs="Arial"/>
        </w:rPr>
        <w:t>the above options</w:t>
      </w:r>
      <w:r w:rsidR="00141FFD">
        <w:rPr>
          <w:rFonts w:ascii="Arial" w:hAnsi="Arial" w:cs="Arial"/>
        </w:rPr>
        <w:t xml:space="preserve"> and the CSCN’s intention to finalize a recommendation with respect a long-term solution using an extended digit format,</w:t>
      </w:r>
      <w:r w:rsidRPr="00131700">
        <w:rPr>
          <w:rFonts w:ascii="Arial" w:hAnsi="Arial" w:cs="Arial"/>
        </w:rPr>
        <w:t xml:space="preserve"> the CSCN recommends</w:t>
      </w:r>
      <w:r w:rsidRPr="003948CF">
        <w:rPr>
          <w:rFonts w:ascii="Arial" w:hAnsi="Arial" w:cs="Arial"/>
          <w:lang w:val="en-US"/>
        </w:rPr>
        <w:t xml:space="preserve"> that the CRTC direct the CNA to:</w:t>
      </w:r>
    </w:p>
    <w:p w14:paraId="1DFB306B" w14:textId="77777777" w:rsidR="00C67B1B" w:rsidRPr="003948CF" w:rsidRDefault="00C67B1B" w:rsidP="00C67B1B">
      <w:pPr>
        <w:numPr>
          <w:ilvl w:val="0"/>
          <w:numId w:val="50"/>
        </w:numPr>
        <w:rPr>
          <w:rFonts w:ascii="Arial" w:hAnsi="Arial" w:cs="Arial"/>
          <w:lang w:val="en-US"/>
        </w:rPr>
      </w:pPr>
      <w:r w:rsidRPr="003948CF">
        <w:rPr>
          <w:rFonts w:ascii="Arial" w:hAnsi="Arial" w:cs="Arial"/>
          <w:lang w:val="en-US"/>
        </w:rPr>
        <w:t xml:space="preserve">allocate 768 NXX codes in NPA 600 as non-geographic within 6 months of the CRTC’s </w:t>
      </w:r>
      <w:proofErr w:type="gramStart"/>
      <w:r w:rsidRPr="003948CF">
        <w:rPr>
          <w:rFonts w:ascii="Arial" w:hAnsi="Arial" w:cs="Arial"/>
          <w:lang w:val="en-US"/>
        </w:rPr>
        <w:t>directive;</w:t>
      </w:r>
      <w:proofErr w:type="gramEnd"/>
      <w:r w:rsidRPr="003948CF">
        <w:rPr>
          <w:rFonts w:ascii="Arial" w:hAnsi="Arial" w:cs="Arial"/>
          <w:lang w:val="en-US"/>
        </w:rPr>
        <w:t xml:space="preserve"> </w:t>
      </w:r>
    </w:p>
    <w:p w14:paraId="487D3A22" w14:textId="77777777" w:rsidR="00C67B1B" w:rsidRPr="003948CF" w:rsidRDefault="00C67B1B" w:rsidP="00C67B1B">
      <w:pPr>
        <w:numPr>
          <w:ilvl w:val="0"/>
          <w:numId w:val="50"/>
        </w:numPr>
        <w:rPr>
          <w:rFonts w:ascii="Arial" w:hAnsi="Arial" w:cs="Arial"/>
          <w:lang w:val="en-US"/>
        </w:rPr>
      </w:pPr>
      <w:r w:rsidRPr="003948CF">
        <w:rPr>
          <w:rFonts w:ascii="Arial" w:hAnsi="Arial" w:cs="Arial"/>
          <w:lang w:val="en-US"/>
        </w:rPr>
        <w:t>eliminate the restriction on the assignment of NXXs 211, 311, 411, 511, 555, 611, 711 and 811 in all non-geographic NPAs within 6 months of the CRTC’s directive;</w:t>
      </w:r>
      <w:r>
        <w:rPr>
          <w:rFonts w:ascii="Arial" w:hAnsi="Arial" w:cs="Arial"/>
          <w:lang w:val="en-US"/>
        </w:rPr>
        <w:t xml:space="preserve"> and</w:t>
      </w:r>
    </w:p>
    <w:p w14:paraId="072C0C36" w14:textId="6FB01BEA" w:rsidR="00C67B1B" w:rsidRPr="003948CF" w:rsidRDefault="00C67B1B" w:rsidP="00C67B1B">
      <w:pPr>
        <w:numPr>
          <w:ilvl w:val="0"/>
          <w:numId w:val="50"/>
        </w:numPr>
        <w:rPr>
          <w:rFonts w:ascii="Arial" w:hAnsi="Arial" w:cs="Arial"/>
          <w:lang w:val="en-US"/>
        </w:rPr>
      </w:pPr>
      <w:r>
        <w:rPr>
          <w:rFonts w:ascii="Arial" w:hAnsi="Arial" w:cs="Arial"/>
          <w:lang w:val="en-US"/>
        </w:rPr>
        <w:t>reserve NPA</w:t>
      </w:r>
      <w:r w:rsidR="00A802DE">
        <w:rPr>
          <w:rFonts w:ascii="Arial" w:hAnsi="Arial" w:cs="Arial"/>
          <w:lang w:val="en-US"/>
        </w:rPr>
        <w:t>s</w:t>
      </w:r>
      <w:r>
        <w:rPr>
          <w:rFonts w:ascii="Arial" w:hAnsi="Arial" w:cs="Arial"/>
          <w:lang w:val="en-US"/>
        </w:rPr>
        <w:t xml:space="preserve"> 677 and 688 for extended digit format.</w:t>
      </w:r>
      <w:r w:rsidRPr="003948CF">
        <w:rPr>
          <w:rFonts w:ascii="Arial" w:hAnsi="Arial" w:cs="Arial"/>
          <w:lang w:val="en-US"/>
        </w:rPr>
        <w:t xml:space="preserve"> </w:t>
      </w:r>
    </w:p>
    <w:p w14:paraId="1E6EE5FF" w14:textId="77777777" w:rsidR="00774977" w:rsidRPr="00774977" w:rsidRDefault="00774977" w:rsidP="00774977">
      <w:pPr>
        <w:ind w:left="360"/>
        <w:rPr>
          <w:rFonts w:ascii="Arial" w:hAnsi="Arial" w:cs="Arial"/>
          <w:lang w:val="en-US"/>
        </w:rPr>
      </w:pPr>
      <w:r w:rsidRPr="003948CF">
        <w:rPr>
          <w:rFonts w:ascii="Arial" w:hAnsi="Arial" w:cs="Arial"/>
          <w:lang w:val="en-US"/>
        </w:rPr>
        <w:t>In addition, it is recommended that the CRTC request that the CSCN</w:t>
      </w:r>
      <w:r>
        <w:rPr>
          <w:rFonts w:ascii="Arial" w:hAnsi="Arial" w:cs="Arial"/>
          <w:lang w:val="en-US"/>
        </w:rPr>
        <w:t xml:space="preserve"> </w:t>
      </w:r>
      <w:r w:rsidRPr="003948CF">
        <w:rPr>
          <w:rFonts w:ascii="Arial" w:hAnsi="Arial" w:cs="Arial"/>
          <w:lang w:val="en-US"/>
        </w:rPr>
        <w:t xml:space="preserve">amend the </w:t>
      </w:r>
      <w:r>
        <w:rPr>
          <w:rFonts w:ascii="Arial" w:hAnsi="Arial" w:cs="Arial"/>
          <w:lang w:val="en-US"/>
        </w:rPr>
        <w:t xml:space="preserve">following guidelines as required </w:t>
      </w:r>
      <w:r w:rsidRPr="003948CF">
        <w:rPr>
          <w:rFonts w:ascii="Arial" w:hAnsi="Arial" w:cs="Arial"/>
          <w:lang w:val="en-US"/>
        </w:rPr>
        <w:t xml:space="preserve">to reflect (1) the allocation of 768 NXX codes in NPA 600 as non-geographic and (2) the elimination of restrictions on the assignment of NXXs 211, 311, 411, 511, 555, 611, 711 and 811 in all non-geographic NPAs </w:t>
      </w:r>
      <w:r w:rsidRPr="00774977">
        <w:rPr>
          <w:rFonts w:ascii="Arial" w:hAnsi="Arial" w:cs="Arial"/>
          <w:lang w:val="en-US"/>
        </w:rPr>
        <w:t>within 6 months of the CRTC’s directive:</w:t>
      </w:r>
    </w:p>
    <w:p w14:paraId="1F7A2A07" w14:textId="77777777" w:rsidR="00774977" w:rsidRPr="009F4DA6" w:rsidRDefault="00774977" w:rsidP="00774977">
      <w:pPr>
        <w:pStyle w:val="ListParagraph"/>
        <w:numPr>
          <w:ilvl w:val="0"/>
          <w:numId w:val="54"/>
        </w:numPr>
        <w:rPr>
          <w:rFonts w:ascii="Arial" w:hAnsi="Arial" w:cs="Arial"/>
          <w:sz w:val="22"/>
          <w:szCs w:val="22"/>
        </w:rPr>
      </w:pPr>
      <w:r w:rsidRPr="009F4DA6">
        <w:rPr>
          <w:rFonts w:ascii="Arial" w:hAnsi="Arial" w:cs="Arial"/>
          <w:sz w:val="22"/>
          <w:szCs w:val="22"/>
        </w:rPr>
        <w:t xml:space="preserve">Central Office Code (NXX) Assignment </w:t>
      </w:r>
      <w:proofErr w:type="gramStart"/>
      <w:r w:rsidRPr="009F4DA6">
        <w:rPr>
          <w:rFonts w:ascii="Arial" w:hAnsi="Arial" w:cs="Arial"/>
          <w:sz w:val="22"/>
          <w:szCs w:val="22"/>
        </w:rPr>
        <w:t>Guideline;</w:t>
      </w:r>
      <w:proofErr w:type="gramEnd"/>
    </w:p>
    <w:p w14:paraId="2CAB167A" w14:textId="77777777" w:rsidR="00774977" w:rsidRPr="009F4DA6" w:rsidRDefault="00774977" w:rsidP="00774977">
      <w:pPr>
        <w:pStyle w:val="ListParagraph"/>
        <w:numPr>
          <w:ilvl w:val="0"/>
          <w:numId w:val="54"/>
        </w:numPr>
        <w:rPr>
          <w:rFonts w:ascii="Arial" w:hAnsi="Arial" w:cs="Arial"/>
          <w:sz w:val="22"/>
          <w:szCs w:val="22"/>
        </w:rPr>
      </w:pPr>
      <w:r w:rsidRPr="009F4DA6">
        <w:rPr>
          <w:rFonts w:ascii="Arial" w:hAnsi="Arial" w:cs="Arial"/>
          <w:sz w:val="22"/>
          <w:szCs w:val="22"/>
        </w:rPr>
        <w:t>Canadian Non-Geographic Code Assignment Guideline; and</w:t>
      </w:r>
    </w:p>
    <w:p w14:paraId="3A8A082F" w14:textId="3307DF8C" w:rsidR="00774977" w:rsidRDefault="00774977" w:rsidP="00774977">
      <w:pPr>
        <w:pStyle w:val="ListParagraph"/>
        <w:numPr>
          <w:ilvl w:val="0"/>
          <w:numId w:val="54"/>
        </w:numPr>
        <w:rPr>
          <w:rFonts w:ascii="Arial" w:hAnsi="Arial" w:cs="Arial"/>
          <w:sz w:val="22"/>
          <w:szCs w:val="22"/>
        </w:rPr>
      </w:pPr>
      <w:r w:rsidRPr="009F4DA6">
        <w:rPr>
          <w:rFonts w:ascii="Arial" w:hAnsi="Arial" w:cs="Arial"/>
          <w:sz w:val="22"/>
          <w:szCs w:val="22"/>
        </w:rPr>
        <w:t>Canadian NPA 600 NXX Code Assignment Guideline</w:t>
      </w:r>
      <w:r w:rsidR="00701AE0">
        <w:rPr>
          <w:rFonts w:ascii="Arial" w:hAnsi="Arial" w:cs="Arial"/>
          <w:sz w:val="22"/>
          <w:szCs w:val="22"/>
        </w:rPr>
        <w:t>.</w:t>
      </w:r>
    </w:p>
    <w:p w14:paraId="085E7B64" w14:textId="77777777" w:rsidR="00774977" w:rsidRPr="009F4DA6" w:rsidRDefault="00774977" w:rsidP="003F304A">
      <w:pPr>
        <w:pStyle w:val="ListParagraph"/>
        <w:ind w:left="1080"/>
        <w:rPr>
          <w:rFonts w:ascii="Arial" w:hAnsi="Arial" w:cs="Arial"/>
          <w:sz w:val="22"/>
          <w:szCs w:val="22"/>
        </w:rPr>
      </w:pPr>
    </w:p>
    <w:p w14:paraId="706A032E" w14:textId="3068CBFA" w:rsidR="0046507A" w:rsidRDefault="00551FBB" w:rsidP="0046507A">
      <w:pPr>
        <w:ind w:left="284"/>
        <w:rPr>
          <w:rFonts w:ascii="Arial" w:hAnsi="Arial" w:cs="Arial"/>
          <w:lang w:val="en-US"/>
        </w:rPr>
      </w:pPr>
      <w:r>
        <w:rPr>
          <w:rFonts w:ascii="Arial" w:hAnsi="Arial" w:cs="Arial"/>
          <w:lang w:val="en-US"/>
        </w:rPr>
        <w:t xml:space="preserve">TIF 112 will remain </w:t>
      </w:r>
      <w:proofErr w:type="gramStart"/>
      <w:r>
        <w:rPr>
          <w:rFonts w:ascii="Arial" w:hAnsi="Arial" w:cs="Arial"/>
          <w:lang w:val="en-US"/>
        </w:rPr>
        <w:t>open</w:t>
      </w:r>
      <w:proofErr w:type="gramEnd"/>
      <w:r>
        <w:rPr>
          <w:rFonts w:ascii="Arial" w:hAnsi="Arial" w:cs="Arial"/>
          <w:lang w:val="en-US"/>
        </w:rPr>
        <w:t xml:space="preserve"> and a</w:t>
      </w:r>
      <w:r w:rsidR="0046507A">
        <w:rPr>
          <w:rFonts w:ascii="Arial" w:hAnsi="Arial" w:cs="Arial"/>
          <w:lang w:val="en-US"/>
        </w:rPr>
        <w:t xml:space="preserve"> follow-up report will be filed no later than 31 December 2024 to resolve the details of Option 7.</w:t>
      </w:r>
    </w:p>
    <w:p w14:paraId="613BC981" w14:textId="77777777" w:rsidR="00C67B1B" w:rsidRDefault="00C67B1B" w:rsidP="00C67B1B">
      <w:pPr>
        <w:ind w:left="316"/>
        <w:rPr>
          <w:rFonts w:ascii="Arial" w:hAnsi="Arial" w:cs="Arial"/>
          <w:lang w:val="en-US"/>
        </w:rPr>
      </w:pPr>
    </w:p>
    <w:p w14:paraId="4BE0D026" w14:textId="77777777" w:rsidR="00C67B1B" w:rsidRDefault="00C67B1B">
      <w:pPr>
        <w:rPr>
          <w:rFonts w:ascii="Arial" w:eastAsiaTheme="majorEastAsia" w:hAnsi="Arial" w:cstheme="majorBidi"/>
          <w:color w:val="2F5496" w:themeColor="accent1" w:themeShade="BF"/>
          <w:sz w:val="24"/>
          <w:szCs w:val="24"/>
        </w:rPr>
      </w:pPr>
      <w:r>
        <w:rPr>
          <w:rFonts w:ascii="Arial" w:hAnsi="Arial"/>
          <w:sz w:val="24"/>
          <w:szCs w:val="24"/>
        </w:rPr>
        <w:br w:type="page"/>
      </w:r>
    </w:p>
    <w:p w14:paraId="5CF1934E" w14:textId="1AF1DE10" w:rsidR="00C67B1B" w:rsidRDefault="00C67B1B" w:rsidP="00C67B1B">
      <w:pPr>
        <w:pStyle w:val="Heading1"/>
        <w:numPr>
          <w:ilvl w:val="0"/>
          <w:numId w:val="44"/>
        </w:numPr>
        <w:rPr>
          <w:rFonts w:ascii="Arial" w:hAnsi="Arial"/>
          <w:sz w:val="24"/>
          <w:szCs w:val="24"/>
        </w:rPr>
      </w:pPr>
      <w:bookmarkStart w:id="3" w:name="_Toc162946382"/>
      <w:r>
        <w:rPr>
          <w:rFonts w:ascii="Arial" w:hAnsi="Arial"/>
          <w:sz w:val="24"/>
          <w:szCs w:val="24"/>
        </w:rPr>
        <w:lastRenderedPageBreak/>
        <w:t>Scope</w:t>
      </w:r>
      <w:bookmarkEnd w:id="3"/>
    </w:p>
    <w:p w14:paraId="33D02C97" w14:textId="77777777" w:rsidR="00C67B1B" w:rsidRDefault="00C67B1B" w:rsidP="00625151">
      <w:pPr>
        <w:rPr>
          <w:rFonts w:ascii="Arial" w:hAnsi="Arial" w:cs="Arial"/>
        </w:rPr>
      </w:pPr>
    </w:p>
    <w:p w14:paraId="492736EF" w14:textId="2D3483BA" w:rsidR="00E63606" w:rsidRDefault="006A185B" w:rsidP="00625151">
      <w:pPr>
        <w:rPr>
          <w:rFonts w:ascii="Arial" w:hAnsi="Arial" w:cs="Arial"/>
        </w:rPr>
      </w:pPr>
      <w:r w:rsidRPr="008C1152">
        <w:rPr>
          <w:rFonts w:ascii="Arial" w:hAnsi="Arial" w:cs="Arial"/>
        </w:rPr>
        <w:t xml:space="preserve">For the purpose of </w:t>
      </w:r>
      <w:r w:rsidR="00FB2C4A" w:rsidRPr="008C1152">
        <w:rPr>
          <w:rFonts w:ascii="Arial" w:hAnsi="Arial" w:cs="Arial"/>
        </w:rPr>
        <w:t>this report</w:t>
      </w:r>
      <w:r w:rsidRPr="008C1152">
        <w:rPr>
          <w:rFonts w:ascii="Arial" w:hAnsi="Arial" w:cs="Arial"/>
        </w:rPr>
        <w:t>, 6YY</w:t>
      </w:r>
      <w:r w:rsidR="00053780">
        <w:rPr>
          <w:rFonts w:ascii="Arial" w:hAnsi="Arial" w:cs="Arial"/>
        </w:rPr>
        <w:t xml:space="preserve"> </w:t>
      </w:r>
      <w:r w:rsidRPr="008C1152">
        <w:rPr>
          <w:rFonts w:ascii="Arial" w:hAnsi="Arial" w:cs="Arial"/>
        </w:rPr>
        <w:t xml:space="preserve">NXX codes are to be used for applications which are non-geographic in nature, are not assigned to Rate Centers and may or may not traverse the </w:t>
      </w:r>
      <w:proofErr w:type="gramStart"/>
      <w:r w:rsidRPr="008C1152">
        <w:rPr>
          <w:rFonts w:ascii="Arial" w:hAnsi="Arial" w:cs="Arial"/>
        </w:rPr>
        <w:t>PSTN, but</w:t>
      </w:r>
      <w:proofErr w:type="gramEnd"/>
      <w:r w:rsidRPr="008C1152">
        <w:rPr>
          <w:rFonts w:ascii="Arial" w:hAnsi="Arial" w:cs="Arial"/>
        </w:rPr>
        <w:t xml:space="preserve"> do require an E.164 addressing scheme. Calls to </w:t>
      </w:r>
      <w:r w:rsidR="00FB2C4A" w:rsidRPr="0091791B">
        <w:rPr>
          <w:rFonts w:ascii="Arial" w:hAnsi="Arial" w:cs="Arial"/>
        </w:rPr>
        <w:t>6YY</w:t>
      </w:r>
      <w:r w:rsidRPr="0091791B">
        <w:rPr>
          <w:rFonts w:ascii="Arial" w:hAnsi="Arial" w:cs="Arial"/>
        </w:rPr>
        <w:t>-NXX codes may not be dialable from the PSTN and route only within the assignee’s network. The use of this NANP numbering resource is to communicate wit</w:t>
      </w:r>
      <w:r w:rsidRPr="003A0896">
        <w:rPr>
          <w:rFonts w:ascii="Arial" w:hAnsi="Arial" w:cs="Arial"/>
        </w:rPr>
        <w:t>h both fixed and mobile devices, some of which may be unattended. This resource may be used for applications enabling machines, which would include but not be limited to wireless devices and appliances, the ability to share information with back-office control and database systems and with the people that use these. Service is limited only by terminal and network capabilities and restrictions imposed by the service provider.</w:t>
      </w:r>
    </w:p>
    <w:p w14:paraId="1B75138E" w14:textId="79D981C1" w:rsidR="0095120B" w:rsidRPr="00F93B92" w:rsidRDefault="00E63606" w:rsidP="00F93B92">
      <w:pPr>
        <w:rPr>
          <w:rFonts w:ascii="Arial" w:hAnsi="Arial" w:cstheme="majorBidi"/>
          <w:sz w:val="24"/>
          <w:szCs w:val="24"/>
        </w:rPr>
      </w:pPr>
      <w:r>
        <w:rPr>
          <w:rFonts w:ascii="Arial" w:hAnsi="Arial" w:cs="Arial"/>
        </w:rPr>
        <w:t xml:space="preserve">This report pertains to the assignment of 6YY resources and is not intended to constrain in any way </w:t>
      </w:r>
      <w:r w:rsidR="00936895">
        <w:rPr>
          <w:rFonts w:ascii="Arial" w:hAnsi="Arial" w:cs="Arial"/>
        </w:rPr>
        <w:t xml:space="preserve">how </w:t>
      </w:r>
      <w:r>
        <w:rPr>
          <w:rFonts w:ascii="Arial" w:hAnsi="Arial" w:cs="Arial"/>
        </w:rPr>
        <w:t xml:space="preserve">individual Carriers may implement the solutions within their own networks and systems. </w:t>
      </w:r>
    </w:p>
    <w:p w14:paraId="29C1FC0C" w14:textId="3F7C37CA" w:rsidR="00F13565" w:rsidRDefault="002269CB" w:rsidP="001351F2">
      <w:pPr>
        <w:pStyle w:val="Heading1"/>
        <w:numPr>
          <w:ilvl w:val="0"/>
          <w:numId w:val="44"/>
        </w:numPr>
        <w:rPr>
          <w:rFonts w:ascii="Arial" w:hAnsi="Arial"/>
          <w:sz w:val="24"/>
          <w:szCs w:val="24"/>
        </w:rPr>
      </w:pPr>
      <w:bookmarkStart w:id="4" w:name="_Toc156387027"/>
      <w:bookmarkStart w:id="5" w:name="_Toc162946383"/>
      <w:r>
        <w:rPr>
          <w:rFonts w:ascii="Arial" w:hAnsi="Arial"/>
          <w:sz w:val="24"/>
          <w:szCs w:val="24"/>
        </w:rPr>
        <w:t>Background</w:t>
      </w:r>
      <w:bookmarkEnd w:id="4"/>
      <w:bookmarkEnd w:id="5"/>
    </w:p>
    <w:p w14:paraId="11EF28FC" w14:textId="77777777" w:rsidR="00F95DEC" w:rsidRDefault="00F13565" w:rsidP="001351F2">
      <w:pPr>
        <w:pStyle w:val="Heading1"/>
        <w:numPr>
          <w:ilvl w:val="1"/>
          <w:numId w:val="44"/>
        </w:numPr>
        <w:rPr>
          <w:rFonts w:ascii="Arial" w:hAnsi="Arial"/>
          <w:sz w:val="24"/>
          <w:szCs w:val="24"/>
        </w:rPr>
      </w:pPr>
      <w:bookmarkStart w:id="6" w:name="_Toc156387028"/>
      <w:bookmarkStart w:id="7" w:name="_Toc162946384"/>
      <w:r>
        <w:rPr>
          <w:rFonts w:ascii="Arial" w:hAnsi="Arial"/>
          <w:sz w:val="24"/>
          <w:szCs w:val="24"/>
        </w:rPr>
        <w:t>North American Numbering Plan (NANP)</w:t>
      </w:r>
      <w:bookmarkEnd w:id="6"/>
      <w:bookmarkEnd w:id="7"/>
    </w:p>
    <w:p w14:paraId="1F04101C" w14:textId="77777777" w:rsidR="00E60055" w:rsidRDefault="00E60055" w:rsidP="001351F2">
      <w:pPr>
        <w:rPr>
          <w:rFonts w:ascii="Arial" w:hAnsi="Arial" w:cs="Arial"/>
        </w:rPr>
      </w:pPr>
      <w:r>
        <w:br/>
      </w:r>
      <w:r>
        <w:rPr>
          <w:rFonts w:ascii="Arial" w:hAnsi="Arial" w:cs="Arial"/>
        </w:rPr>
        <w:t>Canada obtains its numbering resources from the North American Numbering Plan Administrator (NANPA).  The NANPA provides telephone numbering resources to 20 North American countries</w:t>
      </w:r>
      <w:r>
        <w:rPr>
          <w:rStyle w:val="FootnoteReference"/>
          <w:rFonts w:ascii="Arial" w:hAnsi="Arial" w:cs="Arial"/>
        </w:rPr>
        <w:footnoteReference w:id="2"/>
      </w:r>
      <w:r>
        <w:rPr>
          <w:rFonts w:ascii="Arial" w:hAnsi="Arial" w:cs="Arial"/>
        </w:rPr>
        <w:t xml:space="preserve"> and comprises international telephone dialing World Zone 1 (WZ1).  The NANP numbering format complies with the International Telecommunication Union (ITU) Recommendation E.164, namely a framework for international numbering.  </w:t>
      </w:r>
    </w:p>
    <w:p w14:paraId="79EABD5D" w14:textId="600FD36A" w:rsidR="00E60055" w:rsidRDefault="00E60055" w:rsidP="001351F2">
      <w:pPr>
        <w:rPr>
          <w:rFonts w:ascii="Arial" w:hAnsi="Arial" w:cs="Arial"/>
        </w:rPr>
      </w:pPr>
      <w:r>
        <w:rPr>
          <w:rFonts w:ascii="Arial" w:hAnsi="Arial" w:cs="Arial"/>
        </w:rPr>
        <w:t>ITU Recommendation E.164 requires</w:t>
      </w:r>
      <w:r>
        <w:rPr>
          <w:rStyle w:val="FootnoteReference"/>
          <w:rFonts w:ascii="Arial" w:hAnsi="Arial" w:cs="Arial"/>
        </w:rPr>
        <w:footnoteReference w:id="3"/>
      </w:r>
      <w:r>
        <w:rPr>
          <w:rFonts w:ascii="Arial" w:hAnsi="Arial" w:cs="Arial"/>
        </w:rPr>
        <w:t xml:space="preserve"> that telephone numbers be a maximum of 15 digits and be comprised of a country code (CC) of </w:t>
      </w:r>
      <w:r w:rsidR="008A3684">
        <w:rPr>
          <w:rFonts w:ascii="Arial" w:hAnsi="Arial" w:cs="Arial"/>
        </w:rPr>
        <w:t xml:space="preserve">1 to </w:t>
      </w:r>
      <w:r>
        <w:rPr>
          <w:rFonts w:ascii="Arial" w:hAnsi="Arial" w:cs="Arial"/>
        </w:rPr>
        <w:t xml:space="preserve">3 digits and </w:t>
      </w:r>
      <w:r w:rsidR="008A3684">
        <w:rPr>
          <w:rFonts w:ascii="Arial" w:hAnsi="Arial" w:cs="Arial"/>
        </w:rPr>
        <w:t xml:space="preserve">the remainder comprises the </w:t>
      </w:r>
      <w:r>
        <w:rPr>
          <w:rFonts w:ascii="Arial" w:hAnsi="Arial" w:cs="Arial"/>
        </w:rPr>
        <w:t xml:space="preserve">destination (DN) number.  </w:t>
      </w:r>
      <w:r w:rsidR="004444C3">
        <w:rPr>
          <w:rFonts w:ascii="Arial" w:hAnsi="Arial" w:cs="Arial"/>
        </w:rPr>
        <w:t>Canada</w:t>
      </w:r>
      <w:r>
        <w:rPr>
          <w:rFonts w:ascii="Arial" w:hAnsi="Arial" w:cs="Arial"/>
        </w:rPr>
        <w:t xml:space="preserve"> </w:t>
      </w:r>
      <w:r w:rsidR="005136BC">
        <w:rPr>
          <w:rFonts w:ascii="Arial" w:hAnsi="Arial" w:cs="Arial"/>
        </w:rPr>
        <w:t xml:space="preserve">is </w:t>
      </w:r>
      <w:r>
        <w:rPr>
          <w:rFonts w:ascii="Arial" w:hAnsi="Arial" w:cs="Arial"/>
        </w:rPr>
        <w:t xml:space="preserve">a member of </w:t>
      </w:r>
      <w:r w:rsidR="004444C3">
        <w:rPr>
          <w:rFonts w:ascii="Arial" w:hAnsi="Arial" w:cs="Arial"/>
        </w:rPr>
        <w:t>WZ1 and</w:t>
      </w:r>
      <w:r w:rsidR="005136BC">
        <w:rPr>
          <w:rFonts w:ascii="Arial" w:hAnsi="Arial" w:cs="Arial"/>
        </w:rPr>
        <w:t xml:space="preserve"> </w:t>
      </w:r>
      <w:r>
        <w:rPr>
          <w:rFonts w:ascii="Arial" w:hAnsi="Arial" w:cs="Arial"/>
        </w:rPr>
        <w:t xml:space="preserve">has the country code 1.  </w:t>
      </w:r>
    </w:p>
    <w:p w14:paraId="3D6F85A8" w14:textId="6A708E6E" w:rsidR="008876AA" w:rsidRDefault="00E60055" w:rsidP="001351F2">
      <w:pPr>
        <w:rPr>
          <w:rFonts w:ascii="Arial" w:hAnsi="Arial" w:cs="Arial"/>
        </w:rPr>
      </w:pPr>
      <w:r>
        <w:rPr>
          <w:rFonts w:ascii="Arial" w:hAnsi="Arial" w:cs="Arial"/>
        </w:rPr>
        <w:t xml:space="preserve">The NANP </w:t>
      </w:r>
      <w:r w:rsidR="0092747C">
        <w:rPr>
          <w:rFonts w:ascii="Arial" w:hAnsi="Arial" w:cs="Arial"/>
        </w:rPr>
        <w:t>d</w:t>
      </w:r>
      <w:r>
        <w:rPr>
          <w:rFonts w:ascii="Arial" w:hAnsi="Arial" w:cs="Arial"/>
        </w:rPr>
        <w:t xml:space="preserve">estination </w:t>
      </w:r>
      <w:r w:rsidR="0092747C">
        <w:rPr>
          <w:rFonts w:ascii="Arial" w:hAnsi="Arial" w:cs="Arial"/>
        </w:rPr>
        <w:t xml:space="preserve">network </w:t>
      </w:r>
      <w:r>
        <w:rPr>
          <w:rFonts w:ascii="Arial" w:hAnsi="Arial" w:cs="Arial"/>
        </w:rPr>
        <w:t xml:space="preserve">telephone number </w:t>
      </w:r>
      <w:r w:rsidR="00276028">
        <w:rPr>
          <w:rFonts w:ascii="Arial" w:hAnsi="Arial" w:cs="Arial"/>
        </w:rPr>
        <w:t xml:space="preserve">currently </w:t>
      </w:r>
      <w:r>
        <w:rPr>
          <w:rFonts w:ascii="Arial" w:hAnsi="Arial" w:cs="Arial"/>
        </w:rPr>
        <w:t xml:space="preserve">consists of ten digits in the format NPA-NXX-XXXX, where NPA is the regional Number Plan Area or Area Code, the NXX </w:t>
      </w:r>
      <w:r w:rsidR="005D2589">
        <w:rPr>
          <w:rFonts w:ascii="Arial" w:hAnsi="Arial" w:cs="Arial"/>
        </w:rPr>
        <w:t>or Central Office Code (CO Code)</w:t>
      </w:r>
      <w:r w:rsidR="00C92037">
        <w:rPr>
          <w:rFonts w:ascii="Arial" w:hAnsi="Arial" w:cs="Arial"/>
        </w:rPr>
        <w:t xml:space="preserve"> </w:t>
      </w:r>
      <w:r>
        <w:rPr>
          <w:rFonts w:ascii="Arial" w:hAnsi="Arial" w:cs="Arial"/>
        </w:rPr>
        <w:t>is the 10,000 block of telephone numbers, and XXXX is the line number.  In the last 7 digits of the number (NXX-XXXX), N represents a digit between 2 and 9 and X represents a digit between 0 and 9.  Within each NPA, there are approximately 800 CO Codes available for assignment</w:t>
      </w:r>
      <w:r w:rsidR="007220B7">
        <w:rPr>
          <w:rFonts w:ascii="Arial" w:hAnsi="Arial" w:cs="Arial"/>
        </w:rPr>
        <w:t xml:space="preserve">. </w:t>
      </w:r>
      <w:r w:rsidR="006569D9">
        <w:rPr>
          <w:rFonts w:ascii="Arial" w:hAnsi="Arial" w:cs="Arial"/>
        </w:rPr>
        <w:t>(</w:t>
      </w:r>
      <w:r w:rsidR="006569D9" w:rsidRPr="00013756">
        <w:rPr>
          <w:rFonts w:ascii="Arial" w:hAnsi="Arial" w:cs="Arial"/>
        </w:rPr>
        <w:t xml:space="preserve">In geographic NPAs, certain </w:t>
      </w:r>
      <w:r w:rsidR="000A5E7D">
        <w:rPr>
          <w:rFonts w:ascii="Arial" w:hAnsi="Arial" w:cs="Arial"/>
        </w:rPr>
        <w:t>NXXs</w:t>
      </w:r>
      <w:r w:rsidR="006569D9" w:rsidRPr="00013756">
        <w:rPr>
          <w:rFonts w:ascii="Arial" w:hAnsi="Arial" w:cs="Arial"/>
        </w:rPr>
        <w:t xml:space="preserve"> are set aside for N-1-1 services, meaning only 791 are available for general use.  Setting aside these codes may not be necessary in non-geographic NPAs</w:t>
      </w:r>
      <w:r w:rsidR="007220B7">
        <w:rPr>
          <w:rFonts w:ascii="Arial" w:hAnsi="Arial" w:cs="Arial"/>
        </w:rPr>
        <w:t>.</w:t>
      </w:r>
      <w:r w:rsidR="006569D9" w:rsidRPr="00013756">
        <w:rPr>
          <w:rFonts w:ascii="Arial" w:hAnsi="Arial" w:cs="Arial"/>
        </w:rPr>
        <w:t>)</w:t>
      </w:r>
      <w:r>
        <w:rPr>
          <w:rFonts w:ascii="Arial" w:hAnsi="Arial" w:cs="Arial"/>
        </w:rPr>
        <w:t xml:space="preserve">  In Canada, geographic telephone numbers are </w:t>
      </w:r>
      <w:r w:rsidR="004444C3">
        <w:rPr>
          <w:rFonts w:ascii="Arial" w:hAnsi="Arial" w:cs="Arial"/>
        </w:rPr>
        <w:t xml:space="preserve">currently </w:t>
      </w:r>
      <w:r>
        <w:rPr>
          <w:rFonts w:ascii="Arial" w:hAnsi="Arial" w:cs="Arial"/>
        </w:rPr>
        <w:t xml:space="preserve">assigned to </w:t>
      </w:r>
      <w:r w:rsidR="000A5E7D">
        <w:rPr>
          <w:rFonts w:ascii="Arial" w:hAnsi="Arial" w:cs="Arial"/>
        </w:rPr>
        <w:t>Carriers</w:t>
      </w:r>
      <w:r>
        <w:rPr>
          <w:rFonts w:ascii="Arial" w:hAnsi="Arial" w:cs="Arial"/>
        </w:rPr>
        <w:t xml:space="preserve"> on a CO </w:t>
      </w:r>
      <w:r w:rsidR="004444C3">
        <w:rPr>
          <w:rFonts w:ascii="Arial" w:hAnsi="Arial" w:cs="Arial"/>
        </w:rPr>
        <w:t xml:space="preserve">Code </w:t>
      </w:r>
      <w:r>
        <w:rPr>
          <w:rFonts w:ascii="Arial" w:hAnsi="Arial" w:cs="Arial"/>
        </w:rPr>
        <w:t>basis.  Each CO Code provides 10,000 telephone numbers</w:t>
      </w:r>
      <w:r w:rsidR="00290EC6">
        <w:rPr>
          <w:rFonts w:ascii="Arial" w:hAnsi="Arial" w:cs="Arial"/>
        </w:rPr>
        <w:t xml:space="preserve"> and </w:t>
      </w:r>
      <w:r w:rsidR="00DF54B0">
        <w:rPr>
          <w:rFonts w:ascii="Arial" w:hAnsi="Arial" w:cs="Arial"/>
        </w:rPr>
        <w:t xml:space="preserve">is </w:t>
      </w:r>
      <w:r w:rsidR="00290EC6">
        <w:rPr>
          <w:rFonts w:ascii="Arial" w:hAnsi="Arial" w:cs="Arial"/>
        </w:rPr>
        <w:t>confined to</w:t>
      </w:r>
      <w:r>
        <w:rPr>
          <w:rFonts w:ascii="Arial" w:hAnsi="Arial" w:cs="Arial"/>
        </w:rPr>
        <w:t xml:space="preserve"> an </w:t>
      </w:r>
      <w:r w:rsidR="00285FA6" w:rsidRPr="00285FA6">
        <w:rPr>
          <w:rFonts w:ascii="Arial" w:hAnsi="Arial" w:cs="Arial"/>
        </w:rPr>
        <w:t xml:space="preserve">Incumbent Local Exchange Carrier </w:t>
      </w:r>
      <w:r w:rsidR="00DF54B0">
        <w:rPr>
          <w:rFonts w:ascii="Arial" w:hAnsi="Arial" w:cs="Arial"/>
        </w:rPr>
        <w:t>(</w:t>
      </w:r>
      <w:r>
        <w:rPr>
          <w:rFonts w:ascii="Arial" w:hAnsi="Arial" w:cs="Arial"/>
        </w:rPr>
        <w:t>ILEC</w:t>
      </w:r>
      <w:r w:rsidR="00DF54B0">
        <w:rPr>
          <w:rFonts w:ascii="Arial" w:hAnsi="Arial" w:cs="Arial"/>
        </w:rPr>
        <w:t>)</w:t>
      </w:r>
      <w:r>
        <w:rPr>
          <w:rFonts w:ascii="Arial" w:hAnsi="Arial" w:cs="Arial"/>
        </w:rPr>
        <w:t xml:space="preserve"> </w:t>
      </w:r>
      <w:r w:rsidR="00DF54B0">
        <w:rPr>
          <w:rFonts w:ascii="Arial" w:hAnsi="Arial" w:cs="Arial"/>
        </w:rPr>
        <w:t xml:space="preserve">geographic </w:t>
      </w:r>
      <w:r>
        <w:rPr>
          <w:rFonts w:ascii="Arial" w:hAnsi="Arial" w:cs="Arial"/>
        </w:rPr>
        <w:t xml:space="preserve">Exchange Area.  </w:t>
      </w:r>
    </w:p>
    <w:p w14:paraId="48C5761E" w14:textId="535BEB90" w:rsidR="00F701FC" w:rsidRPr="00F00180" w:rsidRDefault="008876AA" w:rsidP="008319F8">
      <w:pPr>
        <w:rPr>
          <w:sz w:val="24"/>
        </w:rPr>
      </w:pPr>
      <w:r>
        <w:rPr>
          <w:rFonts w:ascii="Arial" w:hAnsi="Arial" w:cs="Arial"/>
        </w:rPr>
        <w:br w:type="page"/>
      </w:r>
      <w:bookmarkStart w:id="8" w:name="_Toc156385630"/>
      <w:bookmarkStart w:id="9" w:name="_Toc162946416"/>
      <w:r w:rsidR="00F701FC" w:rsidRPr="00F00180">
        <w:rPr>
          <w:b/>
          <w:sz w:val="24"/>
        </w:rPr>
        <w:lastRenderedPageBreak/>
        <w:t xml:space="preserve">Figure </w:t>
      </w:r>
      <w:r w:rsidR="00262139" w:rsidRPr="00F00180">
        <w:rPr>
          <w:b/>
          <w:sz w:val="24"/>
        </w:rPr>
        <w:fldChar w:fldCharType="begin"/>
      </w:r>
      <w:r w:rsidR="00262139" w:rsidRPr="00F00180">
        <w:rPr>
          <w:b/>
          <w:sz w:val="24"/>
        </w:rPr>
        <w:instrText xml:space="preserve"> SEQ Figure \* ARABIC </w:instrText>
      </w:r>
      <w:r w:rsidR="00262139" w:rsidRPr="00F00180">
        <w:rPr>
          <w:b/>
          <w:sz w:val="24"/>
        </w:rPr>
        <w:fldChar w:fldCharType="separate"/>
      </w:r>
      <w:r w:rsidR="00924761" w:rsidRPr="00F00180">
        <w:rPr>
          <w:b/>
          <w:sz w:val="24"/>
        </w:rPr>
        <w:t>1</w:t>
      </w:r>
      <w:r w:rsidR="00262139" w:rsidRPr="00F00180">
        <w:rPr>
          <w:b/>
          <w:sz w:val="24"/>
        </w:rPr>
        <w:fldChar w:fldCharType="end"/>
      </w:r>
      <w:r w:rsidR="00F701FC" w:rsidRPr="00F00180">
        <w:rPr>
          <w:b/>
          <w:sz w:val="24"/>
        </w:rPr>
        <w:t>:</w:t>
      </w:r>
      <w:r w:rsidR="00F701FC" w:rsidRPr="00F00180">
        <w:rPr>
          <w:sz w:val="24"/>
        </w:rPr>
        <w:t xml:space="preserve">  International ITU-T E.164-Number Structure for Geographic Areas</w:t>
      </w:r>
      <w:bookmarkEnd w:id="8"/>
      <w:bookmarkEnd w:id="9"/>
    </w:p>
    <w:p w14:paraId="5A514340" w14:textId="77777777" w:rsidR="00EC06D2" w:rsidRDefault="00EC06D2" w:rsidP="001351F2">
      <w:pPr>
        <w:rPr>
          <w:rFonts w:ascii="Arial" w:hAnsi="Arial" w:cs="Arial"/>
        </w:rPr>
      </w:pPr>
      <w:r w:rsidRPr="00A63454">
        <w:rPr>
          <w:noProof/>
          <w:lang w:val="en-US"/>
        </w:rPr>
        <w:drawing>
          <wp:inline distT="0" distB="0" distL="0" distR="0" wp14:anchorId="3DA178F0" wp14:editId="76A9772F">
            <wp:extent cx="6248400" cy="3236258"/>
            <wp:effectExtent l="0" t="0" r="0" b="2540"/>
            <wp:docPr id="1808564323" name="Picture 1808564323" descr="A diagram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564323" name="Picture 1808564323" descr="A diagram of a number&#10;&#10;Description automatically generated"/>
                    <pic:cNvPicPr/>
                  </pic:nvPicPr>
                  <pic:blipFill rotWithShape="1">
                    <a:blip r:embed="rId18"/>
                    <a:srcRect b="13677"/>
                    <a:stretch/>
                  </pic:blipFill>
                  <pic:spPr bwMode="auto">
                    <a:xfrm>
                      <a:off x="0" y="0"/>
                      <a:ext cx="6313804" cy="3270133"/>
                    </a:xfrm>
                    <a:prstGeom prst="rect">
                      <a:avLst/>
                    </a:prstGeom>
                    <a:ln>
                      <a:noFill/>
                    </a:ln>
                    <a:extLst>
                      <a:ext uri="{53640926-AAD7-44D8-BBD7-CCE9431645EC}">
                        <a14:shadowObscured xmlns:a14="http://schemas.microsoft.com/office/drawing/2010/main"/>
                      </a:ext>
                    </a:extLst>
                  </pic:spPr>
                </pic:pic>
              </a:graphicData>
            </a:graphic>
          </wp:inline>
        </w:drawing>
      </w:r>
    </w:p>
    <w:p w14:paraId="7A8DCCBB" w14:textId="77777777" w:rsidR="00E21D85" w:rsidRDefault="00772D3D" w:rsidP="001351F2">
      <w:pPr>
        <w:rPr>
          <w:rFonts w:ascii="Arial" w:hAnsi="Arial" w:cs="Arial"/>
        </w:rPr>
      </w:pPr>
      <w:r>
        <w:rPr>
          <w:rFonts w:ascii="Arial" w:hAnsi="Arial" w:cs="Arial"/>
        </w:rPr>
        <w:t>Canada is part of Country Code 1.</w:t>
      </w:r>
    </w:p>
    <w:p w14:paraId="2CF42403" w14:textId="77777777" w:rsidR="00F95DEC" w:rsidRPr="00E60055" w:rsidRDefault="00F95DEC" w:rsidP="001351F2">
      <w:pPr>
        <w:pStyle w:val="Heading1"/>
        <w:numPr>
          <w:ilvl w:val="1"/>
          <w:numId w:val="44"/>
        </w:numPr>
        <w:rPr>
          <w:rFonts w:ascii="Arial" w:hAnsi="Arial"/>
          <w:sz w:val="24"/>
          <w:szCs w:val="24"/>
        </w:rPr>
      </w:pPr>
      <w:bookmarkStart w:id="10" w:name="_Toc153874994"/>
      <w:bookmarkStart w:id="11" w:name="_Toc156387029"/>
      <w:bookmarkStart w:id="12" w:name="_Toc162946385"/>
      <w:bookmarkEnd w:id="10"/>
      <w:r w:rsidRPr="00E60055">
        <w:rPr>
          <w:rFonts w:ascii="Arial" w:hAnsi="Arial" w:cs="Arial"/>
          <w:sz w:val="22"/>
          <w:szCs w:val="22"/>
        </w:rPr>
        <w:t>Canadian Numbering Plan and Dialling Plan</w:t>
      </w:r>
      <w:bookmarkEnd w:id="11"/>
      <w:bookmarkEnd w:id="12"/>
      <w:r w:rsidRPr="00E60055">
        <w:rPr>
          <w:rFonts w:ascii="Arial" w:hAnsi="Arial" w:cs="Arial"/>
          <w:sz w:val="22"/>
          <w:szCs w:val="22"/>
        </w:rPr>
        <w:br/>
      </w:r>
    </w:p>
    <w:p w14:paraId="2D164728" w14:textId="77777777" w:rsidR="00F95DEC" w:rsidRDefault="00F95DEC" w:rsidP="001351F2">
      <w:pPr>
        <w:rPr>
          <w:rFonts w:ascii="Arial" w:hAnsi="Arial" w:cs="Arial"/>
        </w:rPr>
      </w:pPr>
      <w:r w:rsidRPr="00A26236">
        <w:rPr>
          <w:rFonts w:ascii="Arial" w:hAnsi="Arial" w:cs="Arial"/>
        </w:rPr>
        <w:t xml:space="preserve">The </w:t>
      </w:r>
      <w:r>
        <w:rPr>
          <w:rFonts w:ascii="Arial" w:hAnsi="Arial" w:cs="Arial"/>
        </w:rPr>
        <w:t>Canadian Numbering Plan and Dialling Plan</w:t>
      </w:r>
      <w:r>
        <w:rPr>
          <w:rStyle w:val="FootnoteReference"/>
          <w:rFonts w:ascii="Arial" w:hAnsi="Arial" w:cs="Arial"/>
        </w:rPr>
        <w:footnoteReference w:id="4"/>
      </w:r>
      <w:r>
        <w:rPr>
          <w:rFonts w:ascii="Arial" w:hAnsi="Arial" w:cs="Arial"/>
        </w:rPr>
        <w:t xml:space="preserve"> is consistent with ITU E.164 and NANP. </w:t>
      </w:r>
      <w:r w:rsidR="006B25B9">
        <w:rPr>
          <w:rFonts w:ascii="Arial" w:hAnsi="Arial" w:cs="Arial"/>
        </w:rPr>
        <w:t xml:space="preserve">The numbering plan </w:t>
      </w:r>
      <w:r w:rsidR="007220B7">
        <w:rPr>
          <w:rFonts w:ascii="Arial" w:hAnsi="Arial" w:cs="Arial"/>
        </w:rPr>
        <w:t>i</w:t>
      </w:r>
      <w:r>
        <w:rPr>
          <w:rFonts w:ascii="Arial" w:hAnsi="Arial" w:cs="Arial"/>
        </w:rPr>
        <w:t xml:space="preserve">s recommended reading and the CSCN assumes that the reader is familiar with this document.  </w:t>
      </w:r>
    </w:p>
    <w:p w14:paraId="4AB4889F" w14:textId="77777777" w:rsidR="00F95DEC" w:rsidRDefault="00F95DEC" w:rsidP="001351F2">
      <w:pPr>
        <w:rPr>
          <w:rFonts w:ascii="Arial" w:hAnsi="Arial" w:cs="Arial"/>
        </w:rPr>
      </w:pPr>
      <w:r>
        <w:rPr>
          <w:rFonts w:ascii="Arial" w:hAnsi="Arial" w:cs="Arial"/>
        </w:rPr>
        <w:t xml:space="preserve">The Canadian </w:t>
      </w:r>
      <w:r w:rsidR="007220B7">
        <w:rPr>
          <w:rFonts w:ascii="Arial" w:hAnsi="Arial" w:cs="Arial"/>
        </w:rPr>
        <w:t>n</w:t>
      </w:r>
      <w:r>
        <w:rPr>
          <w:rFonts w:ascii="Arial" w:hAnsi="Arial" w:cs="Arial"/>
        </w:rPr>
        <w:t xml:space="preserve">umbering plan is best known by its area codes (national destination codes or NPAs) which are assigned to Canada.  Area </w:t>
      </w:r>
      <w:r w:rsidR="007220B7">
        <w:rPr>
          <w:rFonts w:ascii="Arial" w:hAnsi="Arial" w:cs="Arial"/>
        </w:rPr>
        <w:t>c</w:t>
      </w:r>
      <w:r>
        <w:rPr>
          <w:rFonts w:ascii="Arial" w:hAnsi="Arial" w:cs="Arial"/>
        </w:rPr>
        <w:t xml:space="preserve">odes are assigned to geographic areas, such as 416 (Toronto), 613 (eastern Ontario), and 604 (Vancouver).  </w:t>
      </w:r>
    </w:p>
    <w:p w14:paraId="0AEA135B" w14:textId="77777777" w:rsidR="00E839CB" w:rsidRPr="002A7995" w:rsidRDefault="00E839CB" w:rsidP="001351F2">
      <w:pPr>
        <w:rPr>
          <w:rFonts w:ascii="Arial" w:hAnsi="Arial" w:cs="Arial"/>
        </w:rPr>
      </w:pPr>
      <w:r>
        <w:rPr>
          <w:rFonts w:ascii="Arial" w:hAnsi="Arial" w:cs="Arial"/>
        </w:rPr>
        <w:t>The default dialling plan in Canada is currently 1+10</w:t>
      </w:r>
      <w:r w:rsidR="0021351C">
        <w:rPr>
          <w:rFonts w:ascii="Arial" w:hAnsi="Arial" w:cs="Arial"/>
        </w:rPr>
        <w:t xml:space="preserve"> digits</w:t>
      </w:r>
      <w:r>
        <w:rPr>
          <w:rFonts w:ascii="Arial" w:hAnsi="Arial" w:cs="Arial"/>
        </w:rPr>
        <w:t xml:space="preserve">, referring to the country code plus 3 digits for the NPA, 3 digits for the NXX and 4 digits for line number.  </w:t>
      </w:r>
      <w:r w:rsidR="00885F7C">
        <w:rPr>
          <w:rFonts w:ascii="Arial" w:hAnsi="Arial" w:cs="Arial"/>
        </w:rPr>
        <w:t xml:space="preserve">The exceptions are for local calls where the country code, and possibly the NPA, are not required.  </w:t>
      </w:r>
      <w:r>
        <w:rPr>
          <w:rFonts w:ascii="Arial" w:hAnsi="Arial" w:cs="Arial"/>
        </w:rPr>
        <w:t xml:space="preserve">Certain alternatives in this report contemplate using additional digits. </w:t>
      </w:r>
    </w:p>
    <w:p w14:paraId="50F54A7F" w14:textId="77777777" w:rsidR="006D1FD0" w:rsidRPr="00837962" w:rsidRDefault="00F13565" w:rsidP="001351F2">
      <w:pPr>
        <w:pStyle w:val="Heading1"/>
        <w:numPr>
          <w:ilvl w:val="1"/>
          <w:numId w:val="44"/>
        </w:numPr>
        <w:rPr>
          <w:rFonts w:ascii="Arial" w:hAnsi="Arial"/>
          <w:sz w:val="24"/>
          <w:szCs w:val="24"/>
        </w:rPr>
      </w:pPr>
      <w:bookmarkStart w:id="13" w:name="_Toc156387030"/>
      <w:bookmarkStart w:id="14" w:name="_Toc162946386"/>
      <w:r>
        <w:rPr>
          <w:rFonts w:ascii="Arial" w:hAnsi="Arial"/>
          <w:sz w:val="24"/>
          <w:szCs w:val="24"/>
        </w:rPr>
        <w:t>Numbering Resource Utilization Forecast (NRUF)</w:t>
      </w:r>
      <w:bookmarkEnd w:id="13"/>
      <w:bookmarkEnd w:id="14"/>
    </w:p>
    <w:p w14:paraId="6D37CC11" w14:textId="21D73C7C" w:rsidR="00AE3CAE" w:rsidRDefault="00471398" w:rsidP="001351F2">
      <w:pPr>
        <w:rPr>
          <w:rFonts w:ascii="Arial" w:hAnsi="Arial" w:cs="Arial"/>
        </w:rPr>
      </w:pPr>
      <w:r>
        <w:rPr>
          <w:rFonts w:ascii="Arial" w:hAnsi="Arial" w:cs="Arial"/>
        </w:rPr>
        <w:br/>
      </w:r>
      <w:r w:rsidR="00532916">
        <w:rPr>
          <w:rFonts w:ascii="Arial" w:hAnsi="Arial" w:cs="Arial"/>
        </w:rPr>
        <w:t xml:space="preserve">The Canadian Numbering Administrator (CNA) conducts annual </w:t>
      </w:r>
      <w:r w:rsidR="00EB2AB2">
        <w:rPr>
          <w:rFonts w:ascii="Arial" w:hAnsi="Arial" w:cs="Arial"/>
        </w:rPr>
        <w:t>(</w:t>
      </w:r>
      <w:r w:rsidR="00E60055">
        <w:rPr>
          <w:rFonts w:ascii="Arial" w:hAnsi="Arial" w:cs="Arial"/>
        </w:rPr>
        <w:t>or more frequent</w:t>
      </w:r>
      <w:r w:rsidR="00EB2AB2">
        <w:rPr>
          <w:rFonts w:ascii="Arial" w:hAnsi="Arial" w:cs="Arial"/>
        </w:rPr>
        <w:t>)</w:t>
      </w:r>
      <w:r w:rsidR="00E60055">
        <w:rPr>
          <w:rFonts w:ascii="Arial" w:hAnsi="Arial" w:cs="Arial"/>
        </w:rPr>
        <w:t xml:space="preserve"> </w:t>
      </w:r>
      <w:r>
        <w:rPr>
          <w:rFonts w:ascii="Arial" w:hAnsi="Arial" w:cs="Arial"/>
        </w:rPr>
        <w:t>telephone Numbering Resource Utilization Forecasts (NRUFs)</w:t>
      </w:r>
      <w:r w:rsidR="00F13565">
        <w:rPr>
          <w:rStyle w:val="FootnoteReference"/>
          <w:rFonts w:ascii="Arial" w:hAnsi="Arial" w:cs="Arial"/>
        </w:rPr>
        <w:footnoteReference w:id="5"/>
      </w:r>
      <w:r>
        <w:rPr>
          <w:rFonts w:ascii="Arial" w:hAnsi="Arial" w:cs="Arial"/>
        </w:rPr>
        <w:t xml:space="preserve"> to </w:t>
      </w:r>
      <w:r w:rsidR="00AE3CAE">
        <w:rPr>
          <w:rFonts w:ascii="Arial" w:hAnsi="Arial" w:cs="Arial"/>
        </w:rPr>
        <w:t>estimate</w:t>
      </w:r>
      <w:r>
        <w:rPr>
          <w:rFonts w:ascii="Arial" w:hAnsi="Arial" w:cs="Arial"/>
        </w:rPr>
        <w:t xml:space="preserve"> the exhaust of numbering resources such as Numbering Plan Areas (NPAs)</w:t>
      </w:r>
      <w:r w:rsidR="00885F7C">
        <w:rPr>
          <w:rFonts w:ascii="Arial" w:hAnsi="Arial" w:cs="Arial"/>
        </w:rPr>
        <w:t xml:space="preserve"> over a period of </w:t>
      </w:r>
      <w:r w:rsidR="007627D6">
        <w:rPr>
          <w:rFonts w:ascii="Arial" w:hAnsi="Arial" w:cs="Arial"/>
        </w:rPr>
        <w:t>six</w:t>
      </w:r>
      <w:r w:rsidR="00E839CB">
        <w:rPr>
          <w:rFonts w:ascii="Arial" w:hAnsi="Arial" w:cs="Arial"/>
        </w:rPr>
        <w:t xml:space="preserve"> years.</w:t>
      </w:r>
      <w:r w:rsidR="0016216D">
        <w:rPr>
          <w:rFonts w:ascii="Arial" w:hAnsi="Arial" w:cs="Arial"/>
        </w:rPr>
        <w:t xml:space="preserve">  The CNA extrapolates the aggregate forecast </w:t>
      </w:r>
      <w:r w:rsidR="00A26236">
        <w:rPr>
          <w:rFonts w:ascii="Arial" w:hAnsi="Arial" w:cs="Arial"/>
        </w:rPr>
        <w:t xml:space="preserve">beyond </w:t>
      </w:r>
      <w:r w:rsidR="007627D6">
        <w:rPr>
          <w:rFonts w:ascii="Arial" w:hAnsi="Arial" w:cs="Arial"/>
        </w:rPr>
        <w:t xml:space="preserve">six </w:t>
      </w:r>
      <w:r w:rsidR="00A26236">
        <w:rPr>
          <w:rFonts w:ascii="Arial" w:hAnsi="Arial" w:cs="Arial"/>
        </w:rPr>
        <w:t>years to align with NANPA processes</w:t>
      </w:r>
      <w:r w:rsidR="00BF52A6">
        <w:rPr>
          <w:rFonts w:ascii="Arial" w:hAnsi="Arial" w:cs="Arial"/>
        </w:rPr>
        <w:t>.</w:t>
      </w:r>
      <w:r w:rsidR="00FA3B51">
        <w:rPr>
          <w:rStyle w:val="FootnoteReference"/>
          <w:rFonts w:ascii="Arial" w:hAnsi="Arial" w:cs="Arial"/>
        </w:rPr>
        <w:footnoteReference w:id="6"/>
      </w:r>
      <w:r w:rsidR="0016216D">
        <w:rPr>
          <w:rFonts w:ascii="Arial" w:hAnsi="Arial" w:cs="Arial"/>
        </w:rPr>
        <w:t xml:space="preserve"> </w:t>
      </w:r>
      <w:r w:rsidR="00A26236">
        <w:rPr>
          <w:rFonts w:ascii="Arial" w:hAnsi="Arial" w:cs="Arial"/>
        </w:rPr>
        <w:t xml:space="preserve"> Th</w:t>
      </w:r>
      <w:r w:rsidR="00E839CB">
        <w:rPr>
          <w:rFonts w:ascii="Arial" w:hAnsi="Arial" w:cs="Arial"/>
        </w:rPr>
        <w:t xml:space="preserve">is </w:t>
      </w:r>
      <w:r w:rsidR="00E839CB">
        <w:rPr>
          <w:rFonts w:ascii="Arial" w:hAnsi="Arial" w:cs="Arial"/>
        </w:rPr>
        <w:lastRenderedPageBreak/>
        <w:t>aggregate forecast</w:t>
      </w:r>
      <w:r w:rsidR="00A26236">
        <w:rPr>
          <w:rFonts w:ascii="Arial" w:hAnsi="Arial" w:cs="Arial"/>
        </w:rPr>
        <w:t xml:space="preserve"> </w:t>
      </w:r>
      <w:r w:rsidR="00E839CB">
        <w:rPr>
          <w:rFonts w:ascii="Arial" w:hAnsi="Arial" w:cs="Arial"/>
        </w:rPr>
        <w:t xml:space="preserve">allows the estimation </w:t>
      </w:r>
      <w:r>
        <w:rPr>
          <w:rFonts w:ascii="Arial" w:hAnsi="Arial" w:cs="Arial"/>
        </w:rPr>
        <w:t xml:space="preserve">of exhaust dates </w:t>
      </w:r>
      <w:r w:rsidR="00E839CB">
        <w:rPr>
          <w:rFonts w:ascii="Arial" w:hAnsi="Arial" w:cs="Arial"/>
        </w:rPr>
        <w:t xml:space="preserve">for various </w:t>
      </w:r>
      <w:r w:rsidR="004D6836">
        <w:rPr>
          <w:rFonts w:ascii="Arial" w:hAnsi="Arial" w:cs="Arial"/>
        </w:rPr>
        <w:t>numbering resource</w:t>
      </w:r>
      <w:r w:rsidR="00E839CB">
        <w:rPr>
          <w:rFonts w:ascii="Arial" w:hAnsi="Arial" w:cs="Arial"/>
        </w:rPr>
        <w:t>s to guide</w:t>
      </w:r>
      <w:r w:rsidR="004D6836">
        <w:rPr>
          <w:rFonts w:ascii="Arial" w:hAnsi="Arial" w:cs="Arial"/>
        </w:rPr>
        <w:t xml:space="preserve"> </w:t>
      </w:r>
      <w:r>
        <w:rPr>
          <w:rFonts w:ascii="Arial" w:hAnsi="Arial" w:cs="Arial"/>
        </w:rPr>
        <w:t>relief planning</w:t>
      </w:r>
      <w:r w:rsidR="00E839CB">
        <w:rPr>
          <w:rFonts w:ascii="Arial" w:hAnsi="Arial" w:cs="Arial"/>
        </w:rPr>
        <w:t xml:space="preserve"> activities</w:t>
      </w:r>
      <w:r>
        <w:rPr>
          <w:rFonts w:ascii="Arial" w:hAnsi="Arial" w:cs="Arial"/>
        </w:rPr>
        <w:t>, which take years of preparation</w:t>
      </w:r>
      <w:r w:rsidR="00C8530F">
        <w:rPr>
          <w:rFonts w:ascii="Arial" w:hAnsi="Arial" w:cs="Arial"/>
        </w:rPr>
        <w:t xml:space="preserve"> and </w:t>
      </w:r>
      <w:r w:rsidR="004B72B6">
        <w:rPr>
          <w:rFonts w:ascii="Arial" w:hAnsi="Arial" w:cs="Arial"/>
        </w:rPr>
        <w:t xml:space="preserve">implementation </w:t>
      </w:r>
      <w:r>
        <w:rPr>
          <w:rFonts w:ascii="Arial" w:hAnsi="Arial" w:cs="Arial"/>
        </w:rPr>
        <w:t xml:space="preserve">by the telecommunication industry.  </w:t>
      </w:r>
      <w:bookmarkStart w:id="15" w:name="_Toc101788457"/>
    </w:p>
    <w:p w14:paraId="109C9187" w14:textId="77777777" w:rsidR="00C6342B" w:rsidRDefault="00C6342B" w:rsidP="001351F2">
      <w:pPr>
        <w:rPr>
          <w:rFonts w:ascii="Arial" w:hAnsi="Arial" w:cs="Arial"/>
        </w:rPr>
      </w:pPr>
      <w:r>
        <w:rPr>
          <w:rFonts w:ascii="Arial" w:hAnsi="Arial" w:cs="Arial"/>
        </w:rPr>
        <w:t xml:space="preserve">The NRUF is a forward-looking forecast and the challenge with a forward-looking forecast is that the uncertainty increases as the time out from the forecast survey increases.  In other words, there is no data that suggests that the forecast in </w:t>
      </w:r>
      <w:r w:rsidR="009F4C27">
        <w:rPr>
          <w:rFonts w:ascii="Arial" w:hAnsi="Arial" w:cs="Arial"/>
        </w:rPr>
        <w:t>six</w:t>
      </w:r>
      <w:r>
        <w:rPr>
          <w:rFonts w:ascii="Arial" w:hAnsi="Arial" w:cs="Arial"/>
        </w:rPr>
        <w:t xml:space="preserve"> years will be accurate or higher or lower than predicted.  </w:t>
      </w:r>
    </w:p>
    <w:p w14:paraId="2CA4F520" w14:textId="77777777" w:rsidR="00F344DD" w:rsidRPr="00837962" w:rsidRDefault="00C01DB7" w:rsidP="001351F2">
      <w:pPr>
        <w:pStyle w:val="Heading1"/>
        <w:numPr>
          <w:ilvl w:val="1"/>
          <w:numId w:val="44"/>
        </w:numPr>
        <w:rPr>
          <w:rFonts w:ascii="Arial" w:hAnsi="Arial"/>
          <w:sz w:val="24"/>
          <w:szCs w:val="24"/>
        </w:rPr>
      </w:pPr>
      <w:bookmarkStart w:id="16" w:name="_Toc159488409"/>
      <w:bookmarkStart w:id="17" w:name="_Toc156387031"/>
      <w:bookmarkStart w:id="18" w:name="_Toc162946387"/>
      <w:bookmarkEnd w:id="16"/>
      <w:r w:rsidRPr="00C01DB7">
        <w:rPr>
          <w:rFonts w:ascii="Arial" w:hAnsi="Arial"/>
          <w:sz w:val="24"/>
          <w:szCs w:val="24"/>
        </w:rPr>
        <w:t>North American Numbering Plan Expansion</w:t>
      </w:r>
      <w:bookmarkEnd w:id="17"/>
      <w:bookmarkEnd w:id="18"/>
    </w:p>
    <w:p w14:paraId="4F5C936E" w14:textId="6FB80540" w:rsidR="000004C5" w:rsidRDefault="00F344DD" w:rsidP="001351F2">
      <w:pPr>
        <w:rPr>
          <w:rFonts w:ascii="Arial" w:hAnsi="Arial"/>
        </w:rPr>
      </w:pPr>
      <w:r>
        <w:rPr>
          <w:rFonts w:ascii="Arial" w:hAnsi="Arial" w:cs="Arial"/>
        </w:rPr>
        <w:br/>
      </w:r>
      <w:r w:rsidR="000004C5" w:rsidRPr="00776ABB">
        <w:rPr>
          <w:rFonts w:ascii="Arial" w:hAnsi="Arial"/>
        </w:rPr>
        <w:t xml:space="preserve">The North American Numbering Plan Expansion </w:t>
      </w:r>
      <w:r w:rsidR="000004C5">
        <w:rPr>
          <w:rFonts w:ascii="Arial" w:hAnsi="Arial"/>
        </w:rPr>
        <w:t>(</w:t>
      </w:r>
      <w:r w:rsidR="000004C5" w:rsidRPr="00776ABB">
        <w:rPr>
          <w:rFonts w:ascii="Arial" w:hAnsi="Arial"/>
        </w:rPr>
        <w:t>NANPE</w:t>
      </w:r>
      <w:r w:rsidR="000004C5">
        <w:rPr>
          <w:rFonts w:ascii="Arial" w:hAnsi="Arial"/>
        </w:rPr>
        <w:t>)</w:t>
      </w:r>
      <w:r w:rsidR="000004C5" w:rsidRPr="00776ABB">
        <w:rPr>
          <w:rFonts w:ascii="Arial" w:hAnsi="Arial"/>
        </w:rPr>
        <w:t xml:space="preserve"> </w:t>
      </w:r>
      <w:r w:rsidR="000004C5">
        <w:rPr>
          <w:rFonts w:ascii="Arial" w:hAnsi="Arial"/>
        </w:rPr>
        <w:t xml:space="preserve">is the anticipated expansion of the NANP dialing plan from 1+10 digits to 1+ </w:t>
      </w:r>
      <w:r w:rsidR="00F9252E">
        <w:rPr>
          <w:rFonts w:ascii="Arial" w:hAnsi="Arial"/>
        </w:rPr>
        <w:t>more than 10</w:t>
      </w:r>
      <w:r w:rsidR="000004C5">
        <w:rPr>
          <w:rFonts w:ascii="Arial" w:hAnsi="Arial"/>
        </w:rPr>
        <w:t xml:space="preserve"> digits.  It will be triggered by the </w:t>
      </w:r>
      <w:r w:rsidR="00161F7F">
        <w:rPr>
          <w:rFonts w:ascii="Arial" w:hAnsi="Arial"/>
        </w:rPr>
        <w:t xml:space="preserve">projected </w:t>
      </w:r>
      <w:r w:rsidR="000004C5">
        <w:rPr>
          <w:rFonts w:ascii="Arial" w:hAnsi="Arial"/>
        </w:rPr>
        <w:t xml:space="preserve">exhaust of NANP area codes (NPAs) which is currently forecasted to </w:t>
      </w:r>
      <w:r w:rsidR="00EB21E9">
        <w:rPr>
          <w:rFonts w:ascii="Arial" w:hAnsi="Arial"/>
        </w:rPr>
        <w:t xml:space="preserve">happen in </w:t>
      </w:r>
      <w:r w:rsidR="000004C5">
        <w:rPr>
          <w:rFonts w:ascii="Arial" w:hAnsi="Arial"/>
        </w:rPr>
        <w:t>205</w:t>
      </w:r>
      <w:r w:rsidR="00EB21E9">
        <w:rPr>
          <w:rFonts w:ascii="Arial" w:hAnsi="Arial"/>
        </w:rPr>
        <w:t>1</w:t>
      </w:r>
      <w:r w:rsidR="000004C5">
        <w:rPr>
          <w:rStyle w:val="FootnoteReference"/>
          <w:rFonts w:ascii="Arial" w:hAnsi="Arial"/>
        </w:rPr>
        <w:footnoteReference w:id="7"/>
      </w:r>
      <w:r w:rsidR="000004C5">
        <w:rPr>
          <w:rFonts w:ascii="Arial" w:hAnsi="Arial"/>
        </w:rPr>
        <w:t xml:space="preserve">. This exhaust date is re-calculated </w:t>
      </w:r>
      <w:r w:rsidR="00A10016">
        <w:rPr>
          <w:rFonts w:ascii="Arial" w:hAnsi="Arial"/>
        </w:rPr>
        <w:t>regularly</w:t>
      </w:r>
      <w:r w:rsidR="000004C5">
        <w:rPr>
          <w:rFonts w:ascii="Arial" w:hAnsi="Arial"/>
        </w:rPr>
        <w:t xml:space="preserve"> by the NANP Administrator (NANPA) from NRUF results from countries such as Canada and the US.</w:t>
      </w:r>
    </w:p>
    <w:p w14:paraId="2D90D5C1" w14:textId="77777777" w:rsidR="000004C5" w:rsidRDefault="000004C5" w:rsidP="001351F2">
      <w:pPr>
        <w:rPr>
          <w:rFonts w:ascii="Arial" w:hAnsi="Arial"/>
        </w:rPr>
      </w:pPr>
      <w:r>
        <w:rPr>
          <w:rFonts w:ascii="Arial" w:hAnsi="Arial"/>
        </w:rPr>
        <w:t>NANPE has been examined by the Alliance for Telecommunications Industry Solutions Inc. (ATIS) Industry Numbering Committee (INC) which published the NANP Expansion Plan and Reference Documents ATIS-0300071</w:t>
      </w:r>
      <w:r w:rsidR="009F36F6">
        <w:rPr>
          <w:rFonts w:ascii="Arial" w:hAnsi="Arial"/>
        </w:rPr>
        <w:t xml:space="preserve"> </w:t>
      </w:r>
      <w:r w:rsidR="009F36F6">
        <w:rPr>
          <w:rFonts w:ascii="Arial" w:hAnsi="Arial"/>
        </w:rPr>
        <w:t>and</w:t>
      </w:r>
      <w:r>
        <w:rPr>
          <w:rFonts w:ascii="Arial" w:hAnsi="Arial"/>
        </w:rPr>
        <w:t xml:space="preserve"> </w:t>
      </w:r>
      <w:r>
        <w:rPr>
          <w:rFonts w:ascii="Arial" w:hAnsi="Arial"/>
        </w:rPr>
        <w:t>ATIS-0300072 in August 2002, 2</w:t>
      </w:r>
      <w:r w:rsidR="00434E9A">
        <w:rPr>
          <w:rFonts w:ascii="Arial" w:hAnsi="Arial"/>
        </w:rPr>
        <w:t>2</w:t>
      </w:r>
      <w:r>
        <w:rPr>
          <w:rFonts w:ascii="Arial" w:hAnsi="Arial"/>
        </w:rPr>
        <w:t xml:space="preserve"> years ago.  The documents assess important topics such as existing and future NANP Functionality, human factor needs, options analysis, transition strategies, trigger points and dependencies, and recommends a new format and numeric structure of the NANP to expand its capacity.</w:t>
      </w:r>
    </w:p>
    <w:p w14:paraId="28650B15" w14:textId="77777777" w:rsidR="000004C5" w:rsidRDefault="000004C5" w:rsidP="001351F2">
      <w:pPr>
        <w:rPr>
          <w:rFonts w:ascii="Arial" w:hAnsi="Arial" w:cs="Arial"/>
        </w:rPr>
      </w:pPr>
      <w:r>
        <w:rPr>
          <w:rFonts w:ascii="Arial" w:hAnsi="Arial"/>
        </w:rPr>
        <w:t xml:space="preserve">The recommended plan, ATIS-030071, </w:t>
      </w:r>
      <w:r w:rsidRPr="00486706">
        <w:rPr>
          <w:rFonts w:ascii="Arial" w:hAnsi="Arial" w:cs="Arial"/>
        </w:rPr>
        <w:t>states that the plan is, “</w:t>
      </w:r>
      <w:r w:rsidRPr="00776ABB">
        <w:rPr>
          <w:rFonts w:ascii="Arial" w:hAnsi="Arial" w:cs="Arial"/>
        </w:rPr>
        <w:t>intended to be a living document to be kept current by the industry through regularly scheduled updates or action trigger mechanisms which are identified and maintained in the document.</w:t>
      </w:r>
      <w:r>
        <w:rPr>
          <w:rFonts w:ascii="Arial" w:hAnsi="Arial" w:cs="Arial"/>
        </w:rPr>
        <w:t>”</w:t>
      </w:r>
      <w:r>
        <w:rPr>
          <w:rStyle w:val="FootnoteReference"/>
          <w:rFonts w:ascii="Arial" w:hAnsi="Arial" w:cs="Arial"/>
        </w:rPr>
        <w:footnoteReference w:id="8"/>
      </w:r>
      <w:r>
        <w:rPr>
          <w:rFonts w:ascii="Arial" w:hAnsi="Arial" w:cs="Arial"/>
        </w:rPr>
        <w:t xml:space="preserve">  The CSCN is not aware of any updates </w:t>
      </w:r>
      <w:r w:rsidR="00156A20">
        <w:rPr>
          <w:rFonts w:ascii="Arial" w:hAnsi="Arial" w:cs="Arial"/>
        </w:rPr>
        <w:t>to</w:t>
      </w:r>
      <w:r>
        <w:rPr>
          <w:rFonts w:ascii="Arial" w:hAnsi="Arial" w:cs="Arial"/>
        </w:rPr>
        <w:t xml:space="preserve"> the plan since the August 2002 release of the plan.  </w:t>
      </w:r>
    </w:p>
    <w:p w14:paraId="4766E06C" w14:textId="36E08791" w:rsidR="000004C5" w:rsidRDefault="000004C5" w:rsidP="001351F2">
      <w:pPr>
        <w:rPr>
          <w:rFonts w:ascii="Arial" w:hAnsi="Arial" w:cs="Arial"/>
        </w:rPr>
      </w:pPr>
      <w:r>
        <w:rPr>
          <w:rFonts w:ascii="Arial" w:hAnsi="Arial" w:cs="Arial"/>
        </w:rPr>
        <w:t xml:space="preserve">In any event, the NANPE plan of record states that the NANP dial plan be extended from </w:t>
      </w:r>
      <w:r w:rsidR="005D6297">
        <w:rPr>
          <w:rFonts w:ascii="Arial" w:hAnsi="Arial" w:cs="Arial"/>
        </w:rPr>
        <w:t>1+10 digits</w:t>
      </w:r>
      <w:r>
        <w:rPr>
          <w:rFonts w:ascii="Arial" w:hAnsi="Arial" w:cs="Arial"/>
        </w:rPr>
        <w:t xml:space="preserve"> to </w:t>
      </w:r>
      <w:r w:rsidR="005D6297">
        <w:rPr>
          <w:rFonts w:ascii="Arial" w:hAnsi="Arial" w:cs="Arial"/>
        </w:rPr>
        <w:t>1+12</w:t>
      </w:r>
      <w:r>
        <w:rPr>
          <w:rFonts w:ascii="Arial" w:hAnsi="Arial" w:cs="Arial"/>
        </w:rPr>
        <w:t xml:space="preserve"> digits.  This would be compliant with ITU Recommendation E.164 that allows for a maximum length of fifteen digits.  The transition to </w:t>
      </w:r>
      <w:r w:rsidR="005D6297">
        <w:rPr>
          <w:rFonts w:ascii="Arial" w:hAnsi="Arial" w:cs="Arial"/>
        </w:rPr>
        <w:t>1+12</w:t>
      </w:r>
      <w:r>
        <w:rPr>
          <w:rFonts w:ascii="Arial" w:hAnsi="Arial" w:cs="Arial"/>
        </w:rPr>
        <w:t xml:space="preserve"> digits would impact all areas of the PSTN and </w:t>
      </w:r>
      <w:r w:rsidR="009F7789">
        <w:rPr>
          <w:rFonts w:ascii="Arial" w:hAnsi="Arial" w:cs="Arial"/>
        </w:rPr>
        <w:t>it was estimated to take</w:t>
      </w:r>
      <w:r>
        <w:rPr>
          <w:rFonts w:ascii="Arial" w:hAnsi="Arial" w:cs="Arial"/>
        </w:rPr>
        <w:t xml:space="preserve"> approximately ten years to implement.  The plan recommends introduction of more digits during phases such as “digit detection” and “digit unlocking</w:t>
      </w:r>
      <w:r w:rsidRPr="00CA7DF9">
        <w:rPr>
          <w:rFonts w:ascii="Arial" w:hAnsi="Arial" w:cs="Arial"/>
        </w:rPr>
        <w:t>.</w:t>
      </w:r>
      <w:r w:rsidR="00BF52A6">
        <w:rPr>
          <w:rFonts w:ascii="Arial" w:hAnsi="Arial" w:cs="Arial"/>
        </w:rPr>
        <w:t>”</w:t>
      </w:r>
      <w:r w:rsidR="004C57AE">
        <w:rPr>
          <w:rStyle w:val="FootnoteReference"/>
          <w:rFonts w:ascii="Arial" w:hAnsi="Arial" w:cs="Arial"/>
        </w:rPr>
        <w:footnoteReference w:id="9"/>
      </w:r>
      <w:r>
        <w:rPr>
          <w:rFonts w:ascii="Arial" w:hAnsi="Arial" w:cs="Arial"/>
        </w:rPr>
        <w:t xml:space="preserve">  </w:t>
      </w:r>
    </w:p>
    <w:p w14:paraId="50BC6720" w14:textId="77777777" w:rsidR="00946DF8" w:rsidRDefault="00946DF8" w:rsidP="001351F2">
      <w:pPr>
        <w:rPr>
          <w:rFonts w:ascii="Arial" w:hAnsi="Arial" w:cs="Arial"/>
        </w:rPr>
      </w:pPr>
      <w:r w:rsidRPr="00946DF8">
        <w:rPr>
          <w:rFonts w:ascii="Arial" w:hAnsi="Arial" w:cs="Arial"/>
        </w:rPr>
        <w:t xml:space="preserve">CSCN tracks issues such as this through INC updates presented </w:t>
      </w:r>
      <w:r>
        <w:rPr>
          <w:rFonts w:ascii="Arial" w:hAnsi="Arial" w:cs="Arial"/>
        </w:rPr>
        <w:t xml:space="preserve">by the CNA </w:t>
      </w:r>
      <w:r w:rsidRPr="00946DF8">
        <w:rPr>
          <w:rFonts w:ascii="Arial" w:hAnsi="Arial" w:cs="Arial"/>
        </w:rPr>
        <w:t>at CSCN plenary meetings.</w:t>
      </w:r>
    </w:p>
    <w:p w14:paraId="66CD12EF" w14:textId="77777777" w:rsidR="007F5594" w:rsidRPr="006204DF" w:rsidRDefault="007F5594" w:rsidP="001351F2">
      <w:pPr>
        <w:rPr>
          <w:rFonts w:ascii="Arial" w:hAnsi="Arial" w:cs="Arial"/>
        </w:rPr>
      </w:pPr>
    </w:p>
    <w:p w14:paraId="645C52A2" w14:textId="77777777" w:rsidR="00F13565" w:rsidRDefault="002269CB" w:rsidP="001351F2">
      <w:pPr>
        <w:pStyle w:val="Heading1"/>
        <w:numPr>
          <w:ilvl w:val="0"/>
          <w:numId w:val="44"/>
        </w:numPr>
        <w:rPr>
          <w:rFonts w:ascii="Arial" w:hAnsi="Arial"/>
          <w:sz w:val="24"/>
          <w:szCs w:val="24"/>
        </w:rPr>
      </w:pPr>
      <w:bookmarkStart w:id="19" w:name="_Toc156387032"/>
      <w:bookmarkStart w:id="20" w:name="_Toc162946388"/>
      <w:r>
        <w:rPr>
          <w:rFonts w:ascii="Arial" w:hAnsi="Arial"/>
          <w:sz w:val="24"/>
          <w:szCs w:val="24"/>
        </w:rPr>
        <w:lastRenderedPageBreak/>
        <w:t>Introduction</w:t>
      </w:r>
      <w:bookmarkEnd w:id="19"/>
      <w:bookmarkEnd w:id="20"/>
    </w:p>
    <w:p w14:paraId="44DAFBB3" w14:textId="77777777" w:rsidR="0073657F" w:rsidRDefault="0073657F" w:rsidP="001351F2">
      <w:pPr>
        <w:rPr>
          <w:rFonts w:ascii="Arial" w:hAnsi="Arial" w:cs="Arial"/>
        </w:rPr>
      </w:pPr>
    </w:p>
    <w:p w14:paraId="1FF6DC9E" w14:textId="4AEB727A" w:rsidR="003660A0" w:rsidRDefault="0073657F" w:rsidP="001351F2">
      <w:pPr>
        <w:rPr>
          <w:rFonts w:ascii="Arial" w:hAnsi="Arial" w:cs="Arial"/>
        </w:rPr>
      </w:pPr>
      <w:r w:rsidRPr="00315D06">
        <w:rPr>
          <w:rFonts w:ascii="Arial" w:hAnsi="Arial" w:cs="Arial"/>
        </w:rPr>
        <w:t xml:space="preserve">The following sections discuss (1) the factors which affect the demand for </w:t>
      </w:r>
      <w:r w:rsidR="00D63666" w:rsidRPr="00315D06">
        <w:rPr>
          <w:rFonts w:ascii="Arial" w:hAnsi="Arial" w:cs="Arial"/>
        </w:rPr>
        <w:t>non-</w:t>
      </w:r>
      <w:r w:rsidR="00D63666" w:rsidRPr="00315D06">
        <w:rPr>
          <w:rFonts w:ascii="Arial" w:hAnsi="Arial" w:cs="Arial"/>
        </w:rPr>
        <w:t>geo</w:t>
      </w:r>
      <w:r w:rsidR="00A802DE">
        <w:rPr>
          <w:rFonts w:ascii="Arial" w:hAnsi="Arial" w:cs="Arial"/>
        </w:rPr>
        <w:t>graphic</w:t>
      </w:r>
      <w:r w:rsidR="00D63666" w:rsidRPr="00315D06">
        <w:rPr>
          <w:rFonts w:ascii="Arial" w:hAnsi="Arial" w:cs="Arial"/>
        </w:rPr>
        <w:t xml:space="preserve"> (</w:t>
      </w:r>
      <w:r w:rsidRPr="00315D06">
        <w:rPr>
          <w:rFonts w:ascii="Arial" w:hAnsi="Arial" w:cs="Arial"/>
        </w:rPr>
        <w:t>6YY</w:t>
      </w:r>
      <w:r w:rsidR="00D63666" w:rsidRPr="00315D06">
        <w:rPr>
          <w:rFonts w:ascii="Arial" w:hAnsi="Arial" w:cs="Arial"/>
        </w:rPr>
        <w:t>)</w:t>
      </w:r>
      <w:r w:rsidRPr="00315D06">
        <w:rPr>
          <w:rFonts w:ascii="Arial" w:hAnsi="Arial" w:cs="Arial"/>
        </w:rPr>
        <w:t xml:space="preserve"> </w:t>
      </w:r>
      <w:r w:rsidR="00D63666" w:rsidRPr="00315D06">
        <w:rPr>
          <w:rFonts w:ascii="Arial" w:hAnsi="Arial" w:cs="Arial"/>
        </w:rPr>
        <w:t xml:space="preserve">NPA and </w:t>
      </w:r>
      <w:r w:rsidR="00315D06" w:rsidRPr="00315D06">
        <w:rPr>
          <w:rFonts w:ascii="Arial" w:hAnsi="Arial" w:cs="Arial"/>
        </w:rPr>
        <w:t xml:space="preserve">their </w:t>
      </w:r>
      <w:r w:rsidR="00292304">
        <w:rPr>
          <w:rFonts w:ascii="Arial" w:hAnsi="Arial" w:cs="Arial"/>
        </w:rPr>
        <w:t>NXXs</w:t>
      </w:r>
      <w:r w:rsidRPr="00315D06">
        <w:rPr>
          <w:rFonts w:ascii="Arial" w:hAnsi="Arial" w:cs="Arial"/>
        </w:rPr>
        <w:t>; (2) the forecast for 6YY</w:t>
      </w:r>
      <w:r w:rsidR="00D63666" w:rsidRPr="00315D06">
        <w:rPr>
          <w:rFonts w:ascii="Arial" w:hAnsi="Arial" w:cs="Arial"/>
        </w:rPr>
        <w:t xml:space="preserve"> </w:t>
      </w:r>
      <w:r w:rsidR="00292304">
        <w:rPr>
          <w:rFonts w:ascii="Arial" w:hAnsi="Arial" w:cs="Arial"/>
        </w:rPr>
        <w:t>NXX</w:t>
      </w:r>
      <w:r w:rsidR="00292304" w:rsidRPr="00315D06">
        <w:rPr>
          <w:rFonts w:ascii="Arial" w:hAnsi="Arial" w:cs="Arial"/>
        </w:rPr>
        <w:t xml:space="preserve"> </w:t>
      </w:r>
      <w:r w:rsidRPr="00315D06">
        <w:rPr>
          <w:rFonts w:ascii="Arial" w:hAnsi="Arial" w:cs="Arial"/>
        </w:rPr>
        <w:t xml:space="preserve">demand nationally; and (3) </w:t>
      </w:r>
      <w:r w:rsidR="003660A0" w:rsidRPr="00315D06">
        <w:rPr>
          <w:rFonts w:ascii="Arial" w:hAnsi="Arial" w:cs="Arial"/>
        </w:rPr>
        <w:t xml:space="preserve">how service characteristics determine whether public </w:t>
      </w:r>
      <w:r w:rsidR="00D63666" w:rsidRPr="00315D06">
        <w:rPr>
          <w:rFonts w:ascii="Arial" w:hAnsi="Arial" w:cs="Arial"/>
        </w:rPr>
        <w:t>telephone numbers (</w:t>
      </w:r>
      <w:r w:rsidR="003660A0" w:rsidRPr="00315D06">
        <w:rPr>
          <w:rFonts w:ascii="Arial" w:hAnsi="Arial" w:cs="Arial"/>
        </w:rPr>
        <w:t>TNs</w:t>
      </w:r>
      <w:r w:rsidR="00D63666" w:rsidRPr="00315D06">
        <w:rPr>
          <w:rFonts w:ascii="Arial" w:hAnsi="Arial" w:cs="Arial"/>
        </w:rPr>
        <w:t>)</w:t>
      </w:r>
      <w:r w:rsidR="003660A0" w:rsidRPr="00315D06">
        <w:rPr>
          <w:rFonts w:ascii="Arial" w:hAnsi="Arial" w:cs="Arial"/>
        </w:rPr>
        <w:t xml:space="preserve"> are required and</w:t>
      </w:r>
      <w:r w:rsidR="003660A0" w:rsidRPr="00DB689E">
        <w:rPr>
          <w:rFonts w:ascii="Arial" w:hAnsi="Arial" w:cs="Arial"/>
        </w:rPr>
        <w:t xml:space="preserve"> how use of certain numbering schemes can </w:t>
      </w:r>
      <w:r w:rsidR="003660A0" w:rsidRPr="007220B7">
        <w:rPr>
          <w:rFonts w:ascii="Arial" w:hAnsi="Arial" w:cs="Arial"/>
        </w:rPr>
        <w:t>defer the exhaust</w:t>
      </w:r>
      <w:r w:rsidR="003660A0" w:rsidRPr="00DB689E">
        <w:rPr>
          <w:rFonts w:ascii="Arial" w:hAnsi="Arial" w:cs="Arial"/>
        </w:rPr>
        <w:t xml:space="preserve"> of the current supply of Canadian NPAs.</w:t>
      </w:r>
    </w:p>
    <w:p w14:paraId="5C7A6407" w14:textId="77777777" w:rsidR="0073657F" w:rsidRPr="0050304A" w:rsidRDefault="0073657F" w:rsidP="001351F2"/>
    <w:p w14:paraId="5E5C3715" w14:textId="77777777" w:rsidR="00270191" w:rsidRDefault="00F13565" w:rsidP="001351F2">
      <w:pPr>
        <w:pStyle w:val="Heading1"/>
        <w:numPr>
          <w:ilvl w:val="1"/>
          <w:numId w:val="44"/>
        </w:numPr>
        <w:rPr>
          <w:rFonts w:ascii="Arial" w:hAnsi="Arial"/>
          <w:sz w:val="24"/>
          <w:szCs w:val="24"/>
        </w:rPr>
      </w:pPr>
      <w:bookmarkStart w:id="21" w:name="_Toc156387033"/>
      <w:bookmarkStart w:id="22" w:name="_Toc162946389"/>
      <w:r>
        <w:rPr>
          <w:rFonts w:ascii="Arial" w:hAnsi="Arial"/>
          <w:sz w:val="24"/>
          <w:szCs w:val="24"/>
        </w:rPr>
        <w:t>Internet of Things (IoT) / Machine to Machine (M2M)</w:t>
      </w:r>
      <w:bookmarkEnd w:id="21"/>
      <w:bookmarkEnd w:id="22"/>
    </w:p>
    <w:p w14:paraId="12BA18F8" w14:textId="4E739712" w:rsidR="00565177" w:rsidRDefault="00A0429B" w:rsidP="001351F2">
      <w:pPr>
        <w:rPr>
          <w:rFonts w:ascii="Arial" w:hAnsi="Arial" w:cs="Arial"/>
        </w:rPr>
      </w:pPr>
      <w:r>
        <w:br/>
      </w:r>
      <w:r w:rsidR="00270191" w:rsidRPr="00C013E8">
        <w:rPr>
          <w:rFonts w:ascii="Arial" w:hAnsi="Arial" w:cs="Arial"/>
        </w:rPr>
        <w:t>The Internet of Things (IoT), also known as Machine-to-Machine (M2M)</w:t>
      </w:r>
      <w:r w:rsidR="00276028">
        <w:rPr>
          <w:rFonts w:ascii="Arial" w:hAnsi="Arial" w:cs="Arial"/>
        </w:rPr>
        <w:t xml:space="preserve"> communication,</w:t>
      </w:r>
      <w:r w:rsidR="00270191" w:rsidRPr="00C013E8">
        <w:rPr>
          <w:rFonts w:ascii="Arial" w:hAnsi="Arial" w:cs="Arial"/>
        </w:rPr>
        <w:t xml:space="preserve"> is the </w:t>
      </w:r>
      <w:r w:rsidR="00AE3CAE" w:rsidRPr="00C013E8">
        <w:rPr>
          <w:rFonts w:ascii="Arial" w:hAnsi="Arial" w:cs="Arial"/>
        </w:rPr>
        <w:t xml:space="preserve">service category for autonomous devices.  They </w:t>
      </w:r>
      <w:r w:rsidR="00270191" w:rsidRPr="00C013E8">
        <w:rPr>
          <w:rFonts w:ascii="Arial" w:hAnsi="Arial" w:cs="Arial"/>
        </w:rPr>
        <w:t>are data</w:t>
      </w:r>
      <w:r w:rsidR="004D6836">
        <w:rPr>
          <w:rFonts w:ascii="Arial" w:hAnsi="Arial" w:cs="Arial"/>
        </w:rPr>
        <w:t>-oriented</w:t>
      </w:r>
      <w:r w:rsidR="00270191" w:rsidRPr="00C013E8">
        <w:rPr>
          <w:rFonts w:ascii="Arial" w:hAnsi="Arial" w:cs="Arial"/>
        </w:rPr>
        <w:t xml:space="preserve"> </w:t>
      </w:r>
      <w:r w:rsidR="00215796">
        <w:rPr>
          <w:rFonts w:ascii="Arial" w:hAnsi="Arial" w:cs="Arial"/>
        </w:rPr>
        <w:t>devices</w:t>
      </w:r>
      <w:r w:rsidR="00270191" w:rsidRPr="00C013E8">
        <w:rPr>
          <w:rFonts w:ascii="Arial" w:hAnsi="Arial" w:cs="Arial"/>
        </w:rPr>
        <w:t>, i.e., they utilize little or no human input.  IoT/M2M devices communicate with each other or with central</w:t>
      </w:r>
      <w:r w:rsidR="00F55D74">
        <w:rPr>
          <w:rFonts w:ascii="Arial" w:hAnsi="Arial" w:cs="Arial"/>
        </w:rPr>
        <w:t>ized</w:t>
      </w:r>
      <w:r w:rsidR="00270191" w:rsidRPr="00C013E8">
        <w:rPr>
          <w:rFonts w:ascii="Arial" w:hAnsi="Arial" w:cs="Arial"/>
        </w:rPr>
        <w:t xml:space="preserve"> computing systems </w:t>
      </w:r>
      <w:r w:rsidR="00A26236">
        <w:rPr>
          <w:rFonts w:ascii="Arial" w:hAnsi="Arial" w:cs="Arial"/>
        </w:rPr>
        <w:t xml:space="preserve">or edge computing </w:t>
      </w:r>
      <w:r w:rsidR="00270191" w:rsidRPr="00C013E8">
        <w:rPr>
          <w:rFonts w:ascii="Arial" w:hAnsi="Arial" w:cs="Arial"/>
        </w:rPr>
        <w:t xml:space="preserve">to process commerce-related or control transactions.  These include </w:t>
      </w:r>
      <w:r w:rsidR="00C013E8">
        <w:rPr>
          <w:rFonts w:ascii="Arial" w:hAnsi="Arial" w:cs="Arial"/>
        </w:rPr>
        <w:t>commercial transactions</w:t>
      </w:r>
      <w:r w:rsidR="00270191" w:rsidRPr="00C013E8">
        <w:rPr>
          <w:rFonts w:ascii="Arial" w:hAnsi="Arial" w:cs="Arial"/>
        </w:rPr>
        <w:t xml:space="preserve"> (e.g., </w:t>
      </w:r>
      <w:r w:rsidR="00C013E8">
        <w:rPr>
          <w:rFonts w:ascii="Arial" w:hAnsi="Arial" w:cs="Arial"/>
        </w:rPr>
        <w:t xml:space="preserve">for </w:t>
      </w:r>
      <w:r w:rsidR="00270191" w:rsidRPr="00C013E8">
        <w:rPr>
          <w:rFonts w:ascii="Arial" w:hAnsi="Arial" w:cs="Arial"/>
        </w:rPr>
        <w:t xml:space="preserve">parking machines and retail dispensing machines), </w:t>
      </w:r>
      <w:r w:rsidR="00217F4F">
        <w:rPr>
          <w:rFonts w:ascii="Arial" w:hAnsi="Arial" w:cs="Arial"/>
        </w:rPr>
        <w:t xml:space="preserve">geographic </w:t>
      </w:r>
      <w:r w:rsidR="00270191" w:rsidRPr="00C013E8">
        <w:rPr>
          <w:rFonts w:ascii="Arial" w:hAnsi="Arial" w:cs="Arial"/>
        </w:rPr>
        <w:t xml:space="preserve">tracking (e.g., truck or container real-time tracking), and control (e.g., machine monitoring or telemetry, and process monitoring). </w:t>
      </w:r>
      <w:r w:rsidR="00565177" w:rsidRPr="00C013E8">
        <w:rPr>
          <w:rFonts w:ascii="Arial" w:hAnsi="Arial" w:cs="Arial"/>
        </w:rPr>
        <w:t xml:space="preserve">IoT/M2M is growing </w:t>
      </w:r>
      <w:r w:rsidR="00565177">
        <w:rPr>
          <w:rFonts w:ascii="Arial" w:hAnsi="Arial" w:cs="Arial"/>
        </w:rPr>
        <w:t>because it</w:t>
      </w:r>
      <w:r w:rsidR="00565177" w:rsidRPr="00C013E8">
        <w:rPr>
          <w:rFonts w:ascii="Arial" w:hAnsi="Arial" w:cs="Arial"/>
        </w:rPr>
        <w:t xml:space="preserve"> save</w:t>
      </w:r>
      <w:r w:rsidR="00565177">
        <w:rPr>
          <w:rFonts w:ascii="Arial" w:hAnsi="Arial" w:cs="Arial"/>
        </w:rPr>
        <w:t>s</w:t>
      </w:r>
      <w:r w:rsidR="00565177" w:rsidRPr="00C013E8">
        <w:rPr>
          <w:rFonts w:ascii="Arial" w:hAnsi="Arial" w:cs="Arial"/>
        </w:rPr>
        <w:t xml:space="preserve"> labour costs, </w:t>
      </w:r>
      <w:r w:rsidR="00565177">
        <w:rPr>
          <w:rFonts w:ascii="Arial" w:hAnsi="Arial" w:cs="Arial"/>
        </w:rPr>
        <w:t>is</w:t>
      </w:r>
      <w:r w:rsidR="00565177" w:rsidRPr="00C013E8">
        <w:rPr>
          <w:rFonts w:ascii="Arial" w:hAnsi="Arial" w:cs="Arial"/>
        </w:rPr>
        <w:t xml:space="preserve"> inexpensive, </w:t>
      </w:r>
      <w:r w:rsidR="00565177">
        <w:rPr>
          <w:rFonts w:ascii="Arial" w:hAnsi="Arial" w:cs="Arial"/>
        </w:rPr>
        <w:t>is</w:t>
      </w:r>
      <w:r w:rsidR="00565177" w:rsidRPr="00C013E8">
        <w:rPr>
          <w:rFonts w:ascii="Arial" w:hAnsi="Arial" w:cs="Arial"/>
        </w:rPr>
        <w:t xml:space="preserve"> available 24x7, and </w:t>
      </w:r>
      <w:r w:rsidR="00565177">
        <w:rPr>
          <w:rFonts w:ascii="Arial" w:hAnsi="Arial" w:cs="Arial"/>
        </w:rPr>
        <w:t>is</w:t>
      </w:r>
      <w:r w:rsidR="00565177" w:rsidRPr="00C013E8">
        <w:rPr>
          <w:rFonts w:ascii="Arial" w:hAnsi="Arial" w:cs="Arial"/>
        </w:rPr>
        <w:t xml:space="preserve"> </w:t>
      </w:r>
      <w:r w:rsidR="007B4D38">
        <w:rPr>
          <w:rFonts w:ascii="Arial" w:hAnsi="Arial" w:cs="Arial"/>
        </w:rPr>
        <w:t>further enabled</w:t>
      </w:r>
      <w:r w:rsidR="00565177" w:rsidRPr="00C013E8">
        <w:rPr>
          <w:rFonts w:ascii="Arial" w:hAnsi="Arial" w:cs="Arial"/>
        </w:rPr>
        <w:t xml:space="preserve"> by </w:t>
      </w:r>
      <w:r w:rsidR="00BC275D">
        <w:rPr>
          <w:rFonts w:ascii="Arial" w:hAnsi="Arial" w:cs="Arial"/>
        </w:rPr>
        <w:t xml:space="preserve">mobile </w:t>
      </w:r>
      <w:r w:rsidR="00565177" w:rsidRPr="00C013E8">
        <w:rPr>
          <w:rFonts w:ascii="Arial" w:hAnsi="Arial" w:cs="Arial"/>
        </w:rPr>
        <w:t xml:space="preserve">wireless data </w:t>
      </w:r>
      <w:r w:rsidR="00565177">
        <w:rPr>
          <w:rFonts w:ascii="Arial" w:hAnsi="Arial" w:cs="Arial"/>
        </w:rPr>
        <w:t xml:space="preserve">access </w:t>
      </w:r>
      <w:r w:rsidR="00565177" w:rsidRPr="00C013E8">
        <w:rPr>
          <w:rFonts w:ascii="Arial" w:hAnsi="Arial" w:cs="Arial"/>
        </w:rPr>
        <w:t xml:space="preserve">services such as </w:t>
      </w:r>
      <w:r w:rsidR="00A26236">
        <w:rPr>
          <w:rFonts w:ascii="Arial" w:hAnsi="Arial" w:cs="Arial"/>
        </w:rPr>
        <w:t xml:space="preserve">Wi-Fi, Bluetooth, and </w:t>
      </w:r>
      <w:r w:rsidR="00565177" w:rsidRPr="00C013E8">
        <w:rPr>
          <w:rFonts w:ascii="Arial" w:hAnsi="Arial" w:cs="Arial"/>
        </w:rPr>
        <w:t>4G and 5G.  The growth</w:t>
      </w:r>
      <w:r w:rsidR="00565177">
        <w:rPr>
          <w:rFonts w:ascii="Arial" w:hAnsi="Arial" w:cs="Arial"/>
        </w:rPr>
        <w:t xml:space="preserve"> projection</w:t>
      </w:r>
      <w:r w:rsidR="00565177" w:rsidRPr="00C013E8">
        <w:rPr>
          <w:rFonts w:ascii="Arial" w:hAnsi="Arial" w:cs="Arial"/>
        </w:rPr>
        <w:t xml:space="preserve"> of IoT/M2M is extraordinary.  The global IoT/M2M market was valued at US$</w:t>
      </w:r>
      <w:r w:rsidR="00565177">
        <w:rPr>
          <w:rFonts w:ascii="Arial" w:hAnsi="Arial" w:cs="Arial"/>
        </w:rPr>
        <w:t xml:space="preserve"> </w:t>
      </w:r>
      <w:r w:rsidR="00565177" w:rsidRPr="00C013E8">
        <w:rPr>
          <w:rFonts w:ascii="Arial" w:hAnsi="Arial" w:cs="Arial"/>
        </w:rPr>
        <w:t xml:space="preserve">478.36 </w:t>
      </w:r>
      <w:r w:rsidR="00E63344">
        <w:rPr>
          <w:rFonts w:ascii="Arial" w:hAnsi="Arial" w:cs="Arial"/>
        </w:rPr>
        <w:t>b</w:t>
      </w:r>
      <w:r w:rsidR="00565177" w:rsidRPr="00C013E8">
        <w:rPr>
          <w:rFonts w:ascii="Arial" w:hAnsi="Arial" w:cs="Arial"/>
        </w:rPr>
        <w:t>illion</w:t>
      </w:r>
      <w:r w:rsidR="00565177" w:rsidRPr="00C013E8">
        <w:rPr>
          <w:rFonts w:ascii="Arial" w:hAnsi="Arial" w:cs="Arial"/>
        </w:rPr>
        <w:t xml:space="preserve"> in 2022 and is projected to</w:t>
      </w:r>
      <w:r w:rsidR="00565177">
        <w:rPr>
          <w:rFonts w:ascii="Arial" w:hAnsi="Arial" w:cs="Arial"/>
        </w:rPr>
        <w:t xml:space="preserve"> become</w:t>
      </w:r>
      <w:r w:rsidR="00565177" w:rsidRPr="00C013E8">
        <w:rPr>
          <w:rFonts w:ascii="Arial" w:hAnsi="Arial" w:cs="Arial"/>
        </w:rPr>
        <w:t xml:space="preserve"> US$</w:t>
      </w:r>
      <w:r w:rsidR="00565177">
        <w:rPr>
          <w:rFonts w:ascii="Arial" w:hAnsi="Arial" w:cs="Arial"/>
        </w:rPr>
        <w:t xml:space="preserve"> </w:t>
      </w:r>
      <w:r w:rsidR="00565177" w:rsidRPr="00C013E8">
        <w:rPr>
          <w:rFonts w:ascii="Arial" w:hAnsi="Arial" w:cs="Arial"/>
        </w:rPr>
        <w:t xml:space="preserve">2,465.26 </w:t>
      </w:r>
      <w:r w:rsidR="00E63344">
        <w:rPr>
          <w:rFonts w:ascii="Arial" w:hAnsi="Arial" w:cs="Arial"/>
        </w:rPr>
        <w:t>b</w:t>
      </w:r>
      <w:r w:rsidR="00565177" w:rsidRPr="00C013E8">
        <w:rPr>
          <w:rFonts w:ascii="Arial" w:hAnsi="Arial" w:cs="Arial"/>
        </w:rPr>
        <w:t>illion</w:t>
      </w:r>
      <w:r w:rsidR="00565177" w:rsidRPr="00C013E8">
        <w:rPr>
          <w:rFonts w:ascii="Arial" w:hAnsi="Arial" w:cs="Arial"/>
        </w:rPr>
        <w:t xml:space="preserve"> in 2027, which is a growth rate of 26.4%.</w:t>
      </w:r>
      <w:r w:rsidR="00565177" w:rsidRPr="00C013E8">
        <w:rPr>
          <w:rStyle w:val="FootnoteReference"/>
          <w:rFonts w:ascii="Arial" w:hAnsi="Arial" w:cs="Arial"/>
        </w:rPr>
        <w:footnoteReference w:id="10"/>
      </w:r>
      <w:r w:rsidR="00565177" w:rsidRPr="00C013E8">
        <w:rPr>
          <w:rFonts w:ascii="Arial" w:hAnsi="Arial" w:cs="Arial"/>
        </w:rPr>
        <w:t xml:space="preserve"> </w:t>
      </w:r>
    </w:p>
    <w:p w14:paraId="085C8AA2" w14:textId="7088672D" w:rsidR="00270191" w:rsidRPr="00270191" w:rsidRDefault="00215796" w:rsidP="001351F2">
      <w:r>
        <w:rPr>
          <w:rFonts w:ascii="Arial" w:hAnsi="Arial" w:cs="Arial"/>
        </w:rPr>
        <w:t xml:space="preserve">IoT/M2M devices may be found on wireline or </w:t>
      </w:r>
      <w:r w:rsidRPr="00215796">
        <w:rPr>
          <w:rFonts w:ascii="Arial" w:hAnsi="Arial" w:cs="Arial"/>
        </w:rPr>
        <w:t>wireless (mobile) networks</w:t>
      </w:r>
      <w:r w:rsidR="00565177">
        <w:rPr>
          <w:rFonts w:ascii="Arial" w:hAnsi="Arial" w:cs="Arial"/>
        </w:rPr>
        <w:t xml:space="preserve">.  </w:t>
      </w:r>
      <w:r w:rsidRPr="00B33BD9">
        <w:rPr>
          <w:rFonts w:ascii="Arial" w:hAnsi="Arial" w:cs="Arial"/>
        </w:rPr>
        <w:t>IoT/M2M devices require network addresses</w:t>
      </w:r>
      <w:r w:rsidR="00270191" w:rsidRPr="00B33BD9">
        <w:rPr>
          <w:rFonts w:ascii="Arial" w:hAnsi="Arial" w:cs="Arial"/>
        </w:rPr>
        <w:t xml:space="preserve"> </w:t>
      </w:r>
      <w:r w:rsidRPr="00B33BD9">
        <w:rPr>
          <w:rFonts w:ascii="Arial" w:hAnsi="Arial" w:cs="Arial"/>
        </w:rPr>
        <w:t xml:space="preserve">to send data from point to point.  </w:t>
      </w:r>
      <w:r w:rsidR="00926A37">
        <w:rPr>
          <w:rFonts w:ascii="Arial" w:hAnsi="Arial" w:cs="Arial"/>
        </w:rPr>
        <w:t>I</w:t>
      </w:r>
      <w:r w:rsidRPr="007772FA">
        <w:rPr>
          <w:rFonts w:ascii="Arial" w:hAnsi="Arial" w:cs="Arial"/>
        </w:rPr>
        <w:t xml:space="preserve">n </w:t>
      </w:r>
      <w:r w:rsidR="00526D1F">
        <w:rPr>
          <w:rFonts w:ascii="Arial" w:hAnsi="Arial" w:cs="Arial"/>
        </w:rPr>
        <w:t>many</w:t>
      </w:r>
      <w:r w:rsidR="00526D1F" w:rsidRPr="007772FA">
        <w:rPr>
          <w:rFonts w:ascii="Arial" w:hAnsi="Arial" w:cs="Arial"/>
        </w:rPr>
        <w:t xml:space="preserve"> </w:t>
      </w:r>
      <w:r w:rsidRPr="007772FA">
        <w:rPr>
          <w:rFonts w:ascii="Arial" w:hAnsi="Arial" w:cs="Arial"/>
        </w:rPr>
        <w:t>cases, IoT/M2M devices require NANP-based telephone numbers</w:t>
      </w:r>
      <w:r w:rsidR="006458AA">
        <w:rPr>
          <w:rFonts w:ascii="Arial" w:hAnsi="Arial" w:cs="Arial"/>
        </w:rPr>
        <w:t xml:space="preserve"> </w:t>
      </w:r>
      <w:r>
        <w:rPr>
          <w:rFonts w:ascii="Arial" w:hAnsi="Arial" w:cs="Arial"/>
        </w:rPr>
        <w:t xml:space="preserve">to be compatible with </w:t>
      </w:r>
      <w:r w:rsidR="007C46B8">
        <w:rPr>
          <w:rFonts w:ascii="Arial" w:hAnsi="Arial" w:cs="Arial"/>
        </w:rPr>
        <w:t>Carrier</w:t>
      </w:r>
      <w:r>
        <w:rPr>
          <w:rFonts w:ascii="Arial" w:hAnsi="Arial" w:cs="Arial"/>
        </w:rPr>
        <w:t xml:space="preserve"> Network Elements (</w:t>
      </w:r>
      <w:r w:rsidR="00BC275D">
        <w:rPr>
          <w:rFonts w:ascii="Arial" w:hAnsi="Arial" w:cs="Arial"/>
        </w:rPr>
        <w:t>NEs</w:t>
      </w:r>
      <w:r>
        <w:rPr>
          <w:rFonts w:ascii="Arial" w:hAnsi="Arial" w:cs="Arial"/>
        </w:rPr>
        <w:t>) or platforms and Operational Support Systems (OSS) and Billing Support Systems (BSS)</w:t>
      </w:r>
      <w:r w:rsidR="00D95C2C">
        <w:rPr>
          <w:rFonts w:ascii="Arial" w:hAnsi="Arial" w:cs="Arial"/>
        </w:rPr>
        <w:t xml:space="preserve"> (collectively “support systems”)</w:t>
      </w:r>
      <w:r>
        <w:rPr>
          <w:rFonts w:ascii="Arial" w:hAnsi="Arial" w:cs="Arial"/>
        </w:rPr>
        <w:t>.  OSSs provide network provisioning, surveillance, alarms, and maintenance functions.  BSS systems support assignment and billing functions</w:t>
      </w:r>
      <w:r w:rsidR="004444C3">
        <w:rPr>
          <w:rFonts w:ascii="Arial" w:hAnsi="Arial" w:cs="Arial"/>
        </w:rPr>
        <w:t xml:space="preserve"> and </w:t>
      </w:r>
      <w:r w:rsidR="00A26236">
        <w:rPr>
          <w:rFonts w:ascii="Arial" w:hAnsi="Arial" w:cs="Arial"/>
        </w:rPr>
        <w:t xml:space="preserve">are </w:t>
      </w:r>
      <w:r w:rsidR="004444C3">
        <w:rPr>
          <w:rFonts w:ascii="Arial" w:hAnsi="Arial" w:cs="Arial"/>
        </w:rPr>
        <w:t xml:space="preserve">often </w:t>
      </w:r>
      <w:r w:rsidR="00A26236">
        <w:rPr>
          <w:rFonts w:ascii="Arial" w:hAnsi="Arial" w:cs="Arial"/>
        </w:rPr>
        <w:t>TN</w:t>
      </w:r>
      <w:r w:rsidR="00585114">
        <w:rPr>
          <w:rFonts w:ascii="Arial" w:hAnsi="Arial" w:cs="Arial"/>
        </w:rPr>
        <w:t>-</w:t>
      </w:r>
      <w:r w:rsidR="00A26236">
        <w:rPr>
          <w:rFonts w:ascii="Arial" w:hAnsi="Arial" w:cs="Arial"/>
        </w:rPr>
        <w:t>centric</w:t>
      </w:r>
      <w:r w:rsidR="004444C3">
        <w:rPr>
          <w:rFonts w:ascii="Arial" w:hAnsi="Arial" w:cs="Arial"/>
        </w:rPr>
        <w:t>.</w:t>
      </w:r>
      <w:r w:rsidR="00A26236">
        <w:rPr>
          <w:rFonts w:ascii="Arial" w:hAnsi="Arial" w:cs="Arial"/>
        </w:rPr>
        <w:t xml:space="preserve"> </w:t>
      </w:r>
      <w:r w:rsidR="00816DE5">
        <w:rPr>
          <w:rFonts w:ascii="Arial" w:hAnsi="Arial" w:cs="Arial"/>
        </w:rPr>
        <w:t xml:space="preserve"> </w:t>
      </w:r>
      <w:r w:rsidR="003C7DC3">
        <w:rPr>
          <w:rFonts w:ascii="Arial" w:hAnsi="Arial" w:cs="Arial"/>
        </w:rPr>
        <w:t>In some cases, IoT/M2M services utilize the mobile Short Message Service (SMS)</w:t>
      </w:r>
      <w:r w:rsidR="008B3A93">
        <w:rPr>
          <w:rFonts w:ascii="Arial" w:hAnsi="Arial" w:cs="Arial"/>
        </w:rPr>
        <w:t xml:space="preserve">, </w:t>
      </w:r>
      <w:r w:rsidR="008B3A93" w:rsidRPr="00CA0780">
        <w:rPr>
          <w:rFonts w:ascii="Arial" w:hAnsi="Arial" w:cs="Arial"/>
        </w:rPr>
        <w:t>and it is not inconceivable that they may support voice communications.</w:t>
      </w:r>
      <w:r w:rsidR="008B3A93">
        <w:rPr>
          <w:rFonts w:ascii="Arial" w:hAnsi="Arial" w:cs="Arial"/>
        </w:rPr>
        <w:t xml:space="preserve"> </w:t>
      </w:r>
    </w:p>
    <w:p w14:paraId="613F2697" w14:textId="77777777" w:rsidR="004D3458" w:rsidRDefault="00E60055" w:rsidP="001351F2">
      <w:pPr>
        <w:pStyle w:val="Heading1"/>
        <w:numPr>
          <w:ilvl w:val="1"/>
          <w:numId w:val="44"/>
        </w:numPr>
        <w:rPr>
          <w:rFonts w:ascii="Arial" w:hAnsi="Arial"/>
          <w:sz w:val="24"/>
          <w:szCs w:val="24"/>
        </w:rPr>
      </w:pPr>
      <w:bookmarkStart w:id="23" w:name="_Toc156387034"/>
      <w:bookmarkStart w:id="24" w:name="_Toc162946390"/>
      <w:r>
        <w:rPr>
          <w:rFonts w:ascii="Arial" w:hAnsi="Arial"/>
          <w:sz w:val="24"/>
          <w:szCs w:val="24"/>
        </w:rPr>
        <w:t xml:space="preserve">Non-Geographic </w:t>
      </w:r>
      <w:r w:rsidR="00490098">
        <w:rPr>
          <w:rFonts w:ascii="Arial" w:hAnsi="Arial"/>
          <w:sz w:val="24"/>
          <w:szCs w:val="24"/>
        </w:rPr>
        <w:t>Telephone Numbers</w:t>
      </w:r>
      <w:bookmarkEnd w:id="23"/>
      <w:bookmarkEnd w:id="24"/>
    </w:p>
    <w:p w14:paraId="4EB86278" w14:textId="77777777" w:rsidR="004D3458" w:rsidRDefault="004D3458" w:rsidP="001351F2"/>
    <w:p w14:paraId="12A679DA" w14:textId="77777777" w:rsidR="003C7DC3" w:rsidRDefault="00632220" w:rsidP="001351F2">
      <w:pPr>
        <w:rPr>
          <w:rFonts w:ascii="Arial" w:hAnsi="Arial" w:cs="Arial"/>
        </w:rPr>
      </w:pPr>
      <w:r w:rsidRPr="00B33BD9">
        <w:rPr>
          <w:rFonts w:ascii="Arial" w:hAnsi="Arial" w:cs="Arial"/>
        </w:rPr>
        <w:t>Voice service telephone numbers</w:t>
      </w:r>
      <w:r w:rsidRPr="00E87BE8">
        <w:rPr>
          <w:rFonts w:ascii="Arial" w:hAnsi="Arial" w:cs="Arial"/>
        </w:rPr>
        <w:t xml:space="preserve"> </w:t>
      </w:r>
      <w:r w:rsidR="00764C58" w:rsidRPr="00E87BE8">
        <w:rPr>
          <w:rFonts w:ascii="Arial" w:hAnsi="Arial" w:cs="Arial"/>
        </w:rPr>
        <w:t xml:space="preserve">must be assigned </w:t>
      </w:r>
      <w:r w:rsidR="00E87BE8" w:rsidRPr="00E87BE8">
        <w:rPr>
          <w:rFonts w:ascii="Arial" w:hAnsi="Arial" w:cs="Arial"/>
        </w:rPr>
        <w:t xml:space="preserve">a </w:t>
      </w:r>
      <w:r w:rsidR="00F21C7A">
        <w:rPr>
          <w:rFonts w:ascii="Arial" w:hAnsi="Arial" w:cs="Arial"/>
        </w:rPr>
        <w:t xml:space="preserve">geographic </w:t>
      </w:r>
      <w:r w:rsidR="00E87BE8" w:rsidRPr="00E87BE8">
        <w:rPr>
          <w:rFonts w:ascii="Arial" w:hAnsi="Arial" w:cs="Arial"/>
        </w:rPr>
        <w:t>telephone number that is assigned to</w:t>
      </w:r>
      <w:r w:rsidR="00764C58" w:rsidRPr="00E87BE8">
        <w:rPr>
          <w:rFonts w:ascii="Arial" w:hAnsi="Arial" w:cs="Arial"/>
        </w:rPr>
        <w:t xml:space="preserve"> a specific ILEC exchange</w:t>
      </w:r>
      <w:r w:rsidR="00E87BE8" w:rsidRPr="00E87BE8">
        <w:rPr>
          <w:rFonts w:ascii="Arial" w:hAnsi="Arial" w:cs="Arial"/>
        </w:rPr>
        <w:t xml:space="preserve">.  This is </w:t>
      </w:r>
      <w:r w:rsidR="00490098">
        <w:rPr>
          <w:rFonts w:ascii="Arial" w:hAnsi="Arial" w:cs="Arial"/>
        </w:rPr>
        <w:t>required</w:t>
      </w:r>
      <w:r w:rsidR="00E87BE8" w:rsidRPr="00E87BE8">
        <w:rPr>
          <w:rFonts w:ascii="Arial" w:hAnsi="Arial" w:cs="Arial"/>
        </w:rPr>
        <w:t xml:space="preserve"> </w:t>
      </w:r>
      <w:r w:rsidR="00C1467A">
        <w:rPr>
          <w:rFonts w:ascii="Arial" w:hAnsi="Arial" w:cs="Arial"/>
        </w:rPr>
        <w:t>for</w:t>
      </w:r>
      <w:r w:rsidR="00C1467A" w:rsidRPr="00E87BE8">
        <w:rPr>
          <w:rFonts w:ascii="Arial" w:hAnsi="Arial" w:cs="Arial"/>
        </w:rPr>
        <w:t xml:space="preserve"> </w:t>
      </w:r>
      <w:r w:rsidR="00C1467A">
        <w:rPr>
          <w:rFonts w:ascii="Arial" w:hAnsi="Arial" w:cs="Arial"/>
        </w:rPr>
        <w:t>calls to be completed</w:t>
      </w:r>
      <w:r w:rsidR="00943D5F">
        <w:rPr>
          <w:rFonts w:ascii="Arial" w:hAnsi="Arial" w:cs="Arial"/>
        </w:rPr>
        <w:t xml:space="preserve"> and to </w:t>
      </w:r>
      <w:r w:rsidR="00764C58" w:rsidRPr="00E87BE8">
        <w:rPr>
          <w:rFonts w:ascii="Arial" w:hAnsi="Arial" w:cs="Arial"/>
        </w:rPr>
        <w:t xml:space="preserve">support </w:t>
      </w:r>
      <w:r w:rsidR="00764C58" w:rsidRPr="00B33BD9">
        <w:rPr>
          <w:rFonts w:ascii="Arial" w:hAnsi="Arial" w:cs="Arial"/>
        </w:rPr>
        <w:t>services</w:t>
      </w:r>
      <w:r w:rsidR="00764C58" w:rsidRPr="00E87BE8">
        <w:rPr>
          <w:rFonts w:ascii="Arial" w:hAnsi="Arial" w:cs="Arial"/>
        </w:rPr>
        <w:t xml:space="preserve"> such</w:t>
      </w:r>
      <w:r w:rsidR="00764C58">
        <w:rPr>
          <w:rFonts w:ascii="Arial" w:hAnsi="Arial" w:cs="Arial"/>
        </w:rPr>
        <w:t xml:space="preserve"> as the billing of long-distance services, local number portability, and </w:t>
      </w:r>
      <w:r w:rsidR="009A5F6B">
        <w:rPr>
          <w:rFonts w:ascii="Arial" w:hAnsi="Arial" w:cs="Arial"/>
        </w:rPr>
        <w:t xml:space="preserve">call routing for </w:t>
      </w:r>
      <w:r w:rsidR="00764C58">
        <w:rPr>
          <w:rFonts w:ascii="Arial" w:hAnsi="Arial" w:cs="Arial"/>
        </w:rPr>
        <w:t>N-1-1 services.</w:t>
      </w:r>
      <w:r w:rsidR="00276028">
        <w:rPr>
          <w:rStyle w:val="FootnoteReference"/>
          <w:rFonts w:ascii="Arial" w:hAnsi="Arial" w:cs="Arial"/>
        </w:rPr>
        <w:footnoteReference w:id="11"/>
      </w:r>
      <w:r w:rsidR="009724B4">
        <w:rPr>
          <w:rFonts w:ascii="Arial" w:hAnsi="Arial" w:cs="Arial"/>
        </w:rPr>
        <w:t xml:space="preserve">    </w:t>
      </w:r>
    </w:p>
    <w:p w14:paraId="179D5506" w14:textId="7219DD59" w:rsidR="00E60055" w:rsidRDefault="00857282" w:rsidP="001351F2">
      <w:pPr>
        <w:rPr>
          <w:rFonts w:ascii="Arial" w:hAnsi="Arial" w:cs="Arial"/>
        </w:rPr>
      </w:pPr>
      <w:r w:rsidRPr="00857282">
        <w:rPr>
          <w:rFonts w:ascii="Arial" w:hAnsi="Arial" w:cs="Arial"/>
        </w:rPr>
        <w:lastRenderedPageBreak/>
        <w:t xml:space="preserve">Data services such as IoT/M2M generally do not require </w:t>
      </w:r>
      <w:r w:rsidRPr="00857282">
        <w:rPr>
          <w:rFonts w:ascii="Arial" w:hAnsi="Arial" w:cs="Arial"/>
        </w:rPr>
        <w:t xml:space="preserve">geographic </w:t>
      </w:r>
      <w:r w:rsidRPr="00857282">
        <w:rPr>
          <w:rFonts w:ascii="Arial" w:hAnsi="Arial" w:cs="Arial"/>
        </w:rPr>
        <w:t>TNs that reflect the location of the devices</w:t>
      </w:r>
      <w:r w:rsidRPr="00857282">
        <w:rPr>
          <w:rFonts w:ascii="Arial" w:hAnsi="Arial" w:cs="Arial"/>
        </w:rPr>
        <w:t xml:space="preserve"> </w:t>
      </w:r>
      <w:r w:rsidR="00280C28">
        <w:rPr>
          <w:rFonts w:ascii="Arial" w:hAnsi="Arial" w:cs="Arial"/>
        </w:rPr>
        <w:t>or</w:t>
      </w:r>
      <w:r w:rsidRPr="00857282">
        <w:rPr>
          <w:rFonts w:ascii="Arial" w:hAnsi="Arial" w:cs="Arial"/>
        </w:rPr>
        <w:t xml:space="preserve"> allow communication with </w:t>
      </w:r>
      <w:r>
        <w:rPr>
          <w:rFonts w:ascii="Arial" w:hAnsi="Arial" w:cs="Arial"/>
        </w:rPr>
        <w:t>the PSTN</w:t>
      </w:r>
      <w:r w:rsidRPr="00857282">
        <w:rPr>
          <w:rFonts w:ascii="Arial" w:hAnsi="Arial" w:cs="Arial"/>
        </w:rPr>
        <w:t>.</w:t>
      </w:r>
      <w:r w:rsidRPr="00857282">
        <w:rPr>
          <w:rFonts w:ascii="Arial" w:hAnsi="Arial" w:cs="Arial"/>
        </w:rPr>
        <w:t xml:space="preserve"> </w:t>
      </w:r>
      <w:r>
        <w:rPr>
          <w:rFonts w:ascii="Arial" w:hAnsi="Arial" w:cs="Arial"/>
        </w:rPr>
        <w:t xml:space="preserve"> </w:t>
      </w:r>
      <w:r w:rsidRPr="00857282">
        <w:rPr>
          <w:rFonts w:ascii="Arial" w:hAnsi="Arial" w:cs="Arial"/>
        </w:rPr>
        <w:t xml:space="preserve">Instead, they can use </w:t>
      </w:r>
      <w:r w:rsidRPr="00857282">
        <w:rPr>
          <w:rFonts w:ascii="Arial" w:hAnsi="Arial" w:cs="Arial"/>
        </w:rPr>
        <w:t>non-geographic numbers</w:t>
      </w:r>
      <w:r w:rsidRPr="00857282">
        <w:rPr>
          <w:rFonts w:ascii="Arial" w:hAnsi="Arial" w:cs="Arial"/>
        </w:rPr>
        <w:t xml:space="preserve"> that </w:t>
      </w:r>
      <w:r w:rsidRPr="00857282">
        <w:rPr>
          <w:rFonts w:ascii="Arial" w:hAnsi="Arial" w:cs="Arial"/>
        </w:rPr>
        <w:t xml:space="preserve">only </w:t>
      </w:r>
      <w:r w:rsidRPr="00857282">
        <w:rPr>
          <w:rFonts w:ascii="Arial" w:hAnsi="Arial" w:cs="Arial"/>
        </w:rPr>
        <w:t xml:space="preserve">indicate </w:t>
      </w:r>
      <w:r>
        <w:rPr>
          <w:rFonts w:ascii="Arial" w:hAnsi="Arial" w:cs="Arial"/>
        </w:rPr>
        <w:t xml:space="preserve">which </w:t>
      </w:r>
      <w:r w:rsidRPr="00857282">
        <w:rPr>
          <w:rFonts w:ascii="Arial" w:hAnsi="Arial" w:cs="Arial"/>
        </w:rPr>
        <w:t xml:space="preserve">Carrier </w:t>
      </w:r>
      <w:r>
        <w:rPr>
          <w:rFonts w:ascii="Arial" w:hAnsi="Arial" w:cs="Arial"/>
        </w:rPr>
        <w:t>is</w:t>
      </w:r>
      <w:r>
        <w:rPr>
          <w:rFonts w:ascii="Arial" w:hAnsi="Arial" w:cs="Arial"/>
        </w:rPr>
        <w:t xml:space="preserve"> </w:t>
      </w:r>
      <w:r w:rsidRPr="00857282">
        <w:rPr>
          <w:rFonts w:ascii="Arial" w:hAnsi="Arial" w:cs="Arial"/>
        </w:rPr>
        <w:t>providing the connectivity to the devices</w:t>
      </w:r>
      <w:r w:rsidR="00276028">
        <w:rPr>
          <w:rFonts w:ascii="Arial" w:hAnsi="Arial" w:cs="Arial"/>
        </w:rPr>
        <w:t>.</w:t>
      </w:r>
      <w:r w:rsidR="00F21C7A">
        <w:rPr>
          <w:rFonts w:ascii="Arial" w:hAnsi="Arial" w:cs="Arial"/>
        </w:rPr>
        <w:t xml:space="preserve">  </w:t>
      </w:r>
    </w:p>
    <w:p w14:paraId="09D37CD5" w14:textId="77777777" w:rsidR="008B3A93" w:rsidRDefault="00490098" w:rsidP="001351F2">
      <w:pPr>
        <w:rPr>
          <w:rFonts w:ascii="Arial" w:hAnsi="Arial" w:cs="Arial"/>
        </w:rPr>
      </w:pPr>
      <w:r w:rsidRPr="00764C58">
        <w:rPr>
          <w:rFonts w:ascii="Arial" w:hAnsi="Arial" w:cs="Arial"/>
        </w:rPr>
        <w:t>In 201</w:t>
      </w:r>
      <w:r w:rsidR="003C7DC3">
        <w:rPr>
          <w:rFonts w:ascii="Arial" w:hAnsi="Arial" w:cs="Arial"/>
        </w:rPr>
        <w:t>5</w:t>
      </w:r>
      <w:r w:rsidRPr="00764C58">
        <w:rPr>
          <w:rFonts w:ascii="Arial" w:hAnsi="Arial" w:cs="Arial"/>
        </w:rPr>
        <w:t>, the CRTC approved</w:t>
      </w:r>
      <w:r w:rsidRPr="00764C58">
        <w:rPr>
          <w:rStyle w:val="FootnoteReference"/>
          <w:rFonts w:ascii="Arial" w:hAnsi="Arial" w:cs="Arial"/>
        </w:rPr>
        <w:footnoteReference w:id="12"/>
      </w:r>
      <w:r w:rsidRPr="00764C58">
        <w:rPr>
          <w:rFonts w:ascii="Arial" w:hAnsi="Arial" w:cs="Arial"/>
        </w:rPr>
        <w:t xml:space="preserve"> a Canadian Steering Committee on Numbering (CSCN) recommendation to deploy and administer </w:t>
      </w:r>
      <w:r>
        <w:rPr>
          <w:rFonts w:ascii="Arial" w:hAnsi="Arial" w:cs="Arial"/>
        </w:rPr>
        <w:t xml:space="preserve">six </w:t>
      </w:r>
      <w:r w:rsidR="00BB3C34">
        <w:rPr>
          <w:rFonts w:ascii="Arial" w:hAnsi="Arial" w:cs="Arial"/>
        </w:rPr>
        <w:t>n</w:t>
      </w:r>
      <w:r>
        <w:rPr>
          <w:rFonts w:ascii="Arial" w:hAnsi="Arial" w:cs="Arial"/>
        </w:rPr>
        <w:t>on-</w:t>
      </w:r>
      <w:r w:rsidR="00BB3C34">
        <w:rPr>
          <w:rFonts w:ascii="Arial" w:hAnsi="Arial" w:cs="Arial"/>
        </w:rPr>
        <w:t>g</w:t>
      </w:r>
      <w:r>
        <w:rPr>
          <w:rFonts w:ascii="Arial" w:hAnsi="Arial" w:cs="Arial"/>
        </w:rPr>
        <w:t>eographic</w:t>
      </w:r>
      <w:r w:rsidRPr="00764C58">
        <w:rPr>
          <w:rFonts w:ascii="Arial" w:hAnsi="Arial" w:cs="Arial"/>
        </w:rPr>
        <w:t xml:space="preserve"> “6YY” NPAs (</w:t>
      </w:r>
      <w:r>
        <w:rPr>
          <w:rFonts w:ascii="Arial" w:hAnsi="Arial" w:cs="Arial"/>
        </w:rPr>
        <w:t xml:space="preserve">namely: </w:t>
      </w:r>
      <w:r w:rsidRPr="00764C58">
        <w:rPr>
          <w:rFonts w:ascii="Arial" w:hAnsi="Arial" w:cs="Arial"/>
        </w:rPr>
        <w:t>622, 633, 644, 655, 677, and 688) for the purposes of supporting data services such as M2M.</w:t>
      </w:r>
      <w:r w:rsidRPr="00764C58">
        <w:rPr>
          <w:rStyle w:val="FootnoteReference"/>
          <w:rFonts w:ascii="Arial" w:hAnsi="Arial" w:cs="Arial"/>
        </w:rPr>
        <w:footnoteReference w:id="13"/>
      </w:r>
      <w:r w:rsidRPr="00764C58">
        <w:rPr>
          <w:rFonts w:ascii="Arial" w:hAnsi="Arial" w:cs="Arial"/>
        </w:rPr>
        <w:t xml:space="preserve">  6YY telephone numbers are described as being </w:t>
      </w:r>
      <w:r w:rsidR="00BB3C34">
        <w:rPr>
          <w:rFonts w:ascii="Arial" w:hAnsi="Arial" w:cs="Arial"/>
        </w:rPr>
        <w:t>n</w:t>
      </w:r>
      <w:r>
        <w:rPr>
          <w:rFonts w:ascii="Arial" w:hAnsi="Arial" w:cs="Arial"/>
        </w:rPr>
        <w:t>on-</w:t>
      </w:r>
      <w:r w:rsidR="00BB3C34">
        <w:rPr>
          <w:rFonts w:ascii="Arial" w:hAnsi="Arial" w:cs="Arial"/>
        </w:rPr>
        <w:t>g</w:t>
      </w:r>
      <w:r>
        <w:rPr>
          <w:rFonts w:ascii="Arial" w:hAnsi="Arial" w:cs="Arial"/>
        </w:rPr>
        <w:t>eographic</w:t>
      </w:r>
      <w:r w:rsidRPr="00764C58">
        <w:rPr>
          <w:rFonts w:ascii="Arial" w:hAnsi="Arial" w:cs="Arial"/>
        </w:rPr>
        <w:t xml:space="preserve"> because they are assigned to </w:t>
      </w:r>
      <w:r>
        <w:rPr>
          <w:rFonts w:ascii="Arial" w:hAnsi="Arial" w:cs="Arial"/>
        </w:rPr>
        <w:t xml:space="preserve">Canada but not </w:t>
      </w:r>
      <w:r w:rsidR="00B07640">
        <w:rPr>
          <w:rFonts w:ascii="Arial" w:hAnsi="Arial" w:cs="Arial"/>
        </w:rPr>
        <w:t xml:space="preserve">to </w:t>
      </w:r>
      <w:r>
        <w:rPr>
          <w:rFonts w:ascii="Arial" w:hAnsi="Arial" w:cs="Arial"/>
        </w:rPr>
        <w:t>a specific geographical area within Canada.  6YY numbers are compatible with both NANP and E.164.</w:t>
      </w:r>
      <w:r w:rsidRPr="00764C58">
        <w:rPr>
          <w:rFonts w:ascii="Arial" w:hAnsi="Arial" w:cs="Arial"/>
        </w:rPr>
        <w:t xml:space="preserve"> </w:t>
      </w:r>
      <w:r w:rsidR="00885F7C">
        <w:rPr>
          <w:rFonts w:ascii="Arial" w:hAnsi="Arial" w:cs="Arial"/>
        </w:rPr>
        <w:t xml:space="preserve">  In the United States, </w:t>
      </w:r>
      <w:proofErr w:type="gramStart"/>
      <w:r w:rsidR="00885F7C">
        <w:rPr>
          <w:rFonts w:ascii="Arial" w:hAnsi="Arial" w:cs="Arial"/>
        </w:rPr>
        <w:t>a number of</w:t>
      </w:r>
      <w:proofErr w:type="gramEnd"/>
      <w:r w:rsidR="00885F7C">
        <w:rPr>
          <w:rFonts w:ascii="Arial" w:hAnsi="Arial" w:cs="Arial"/>
        </w:rPr>
        <w:t xml:space="preserve"> NPA codes have been assigned for the same purpose.  These are referred to as </w:t>
      </w:r>
      <w:r w:rsidR="00D956B4">
        <w:rPr>
          <w:rFonts w:ascii="Arial" w:hAnsi="Arial" w:cs="Arial"/>
        </w:rPr>
        <w:t>5XX</w:t>
      </w:r>
      <w:r w:rsidR="00885F7C">
        <w:rPr>
          <w:rFonts w:ascii="Arial" w:hAnsi="Arial" w:cs="Arial"/>
        </w:rPr>
        <w:t xml:space="preserve"> NPAs in this report.  No communication between 6YY and </w:t>
      </w:r>
      <w:r w:rsidR="00D956B4">
        <w:rPr>
          <w:rFonts w:ascii="Arial" w:hAnsi="Arial" w:cs="Arial"/>
        </w:rPr>
        <w:t>5XX</w:t>
      </w:r>
      <w:r w:rsidR="00885F7C">
        <w:rPr>
          <w:rFonts w:ascii="Arial" w:hAnsi="Arial" w:cs="Arial"/>
        </w:rPr>
        <w:t xml:space="preserve"> devices is contemplated as part of this report.</w:t>
      </w:r>
    </w:p>
    <w:p w14:paraId="1168ACF5" w14:textId="79CEEA73" w:rsidR="008B3A93" w:rsidRPr="00E60055" w:rsidRDefault="008B3A93" w:rsidP="001351F2">
      <w:pPr>
        <w:rPr>
          <w:rFonts w:ascii="Arial" w:hAnsi="Arial" w:cs="Arial"/>
        </w:rPr>
      </w:pPr>
      <w:r>
        <w:rPr>
          <w:rFonts w:ascii="Arial" w:hAnsi="Arial" w:cs="Arial"/>
        </w:rPr>
        <w:t xml:space="preserve">6YY numbers </w:t>
      </w:r>
      <w:r w:rsidR="00885F7C">
        <w:rPr>
          <w:rFonts w:ascii="Arial" w:hAnsi="Arial" w:cs="Arial"/>
        </w:rPr>
        <w:t xml:space="preserve">can </w:t>
      </w:r>
      <w:r>
        <w:rPr>
          <w:rFonts w:ascii="Arial" w:hAnsi="Arial" w:cs="Arial"/>
        </w:rPr>
        <w:t xml:space="preserve">support inter-network communication, i.e., devices on one </w:t>
      </w:r>
      <w:r w:rsidR="00A01C15">
        <w:rPr>
          <w:rFonts w:ascii="Arial" w:hAnsi="Arial" w:cs="Arial"/>
        </w:rPr>
        <w:t xml:space="preserve">Carrier’s </w:t>
      </w:r>
      <w:r>
        <w:rPr>
          <w:rFonts w:ascii="Arial" w:hAnsi="Arial" w:cs="Arial"/>
        </w:rPr>
        <w:t>network can communicate (</w:t>
      </w:r>
      <w:r w:rsidR="00B47266">
        <w:rPr>
          <w:rFonts w:ascii="Arial" w:hAnsi="Arial" w:cs="Arial"/>
        </w:rPr>
        <w:t xml:space="preserve">including </w:t>
      </w:r>
      <w:r>
        <w:rPr>
          <w:rFonts w:ascii="Arial" w:hAnsi="Arial" w:cs="Arial"/>
        </w:rPr>
        <w:t>by SMS or possibly voice</w:t>
      </w:r>
      <w:r w:rsidR="00EC13D0">
        <w:rPr>
          <w:rFonts w:ascii="Arial" w:hAnsi="Arial" w:cs="Arial"/>
        </w:rPr>
        <w:t xml:space="preserve"> over IP</w:t>
      </w:r>
      <w:r>
        <w:rPr>
          <w:rFonts w:ascii="Arial" w:hAnsi="Arial" w:cs="Arial"/>
        </w:rPr>
        <w:t xml:space="preserve">) with devices on another </w:t>
      </w:r>
      <w:r w:rsidR="00A01C15">
        <w:rPr>
          <w:rFonts w:ascii="Arial" w:hAnsi="Arial" w:cs="Arial"/>
        </w:rPr>
        <w:t xml:space="preserve">Carrier’s </w:t>
      </w:r>
      <w:r>
        <w:rPr>
          <w:rFonts w:ascii="Arial" w:hAnsi="Arial" w:cs="Arial"/>
        </w:rPr>
        <w:t>network</w:t>
      </w:r>
      <w:r w:rsidR="00885F7C">
        <w:rPr>
          <w:rFonts w:ascii="Arial" w:hAnsi="Arial" w:cs="Arial"/>
        </w:rPr>
        <w:t xml:space="preserve"> by using the assigned TNs</w:t>
      </w:r>
      <w:r>
        <w:rPr>
          <w:rFonts w:ascii="Arial" w:hAnsi="Arial" w:cs="Arial"/>
        </w:rPr>
        <w:t xml:space="preserve">.  In the case of wireless IoT devices this is particularly important because it will allow continuous connectivity even if the device roams to another </w:t>
      </w:r>
      <w:r w:rsidR="00B64A22">
        <w:rPr>
          <w:rFonts w:ascii="Arial" w:hAnsi="Arial" w:cs="Arial"/>
        </w:rPr>
        <w:t xml:space="preserve">Carrier’s </w:t>
      </w:r>
      <w:r>
        <w:rPr>
          <w:rFonts w:ascii="Arial" w:hAnsi="Arial" w:cs="Arial"/>
        </w:rPr>
        <w:t xml:space="preserve">network.  </w:t>
      </w:r>
      <w:r w:rsidR="00E52148">
        <w:rPr>
          <w:rFonts w:ascii="Arial" w:hAnsi="Arial" w:cs="Arial"/>
        </w:rPr>
        <w:t>Currently</w:t>
      </w:r>
      <w:r w:rsidR="008A1282">
        <w:rPr>
          <w:rFonts w:ascii="Arial" w:hAnsi="Arial" w:cs="Arial"/>
        </w:rPr>
        <w:t>,</w:t>
      </w:r>
      <w:r w:rsidR="00E52148">
        <w:rPr>
          <w:rFonts w:ascii="Arial" w:hAnsi="Arial" w:cs="Arial"/>
        </w:rPr>
        <w:t xml:space="preserve"> </w:t>
      </w:r>
      <w:r w:rsidR="008A1282">
        <w:rPr>
          <w:rFonts w:ascii="Arial" w:hAnsi="Arial" w:cs="Arial"/>
        </w:rPr>
        <w:t>inter-network communication</w:t>
      </w:r>
      <w:r w:rsidR="00E52148">
        <w:rPr>
          <w:rFonts w:ascii="Arial" w:hAnsi="Arial" w:cs="Arial"/>
        </w:rPr>
        <w:t xml:space="preserve"> </w:t>
      </w:r>
      <w:r w:rsidR="00272D3D">
        <w:rPr>
          <w:rFonts w:ascii="Arial" w:hAnsi="Arial" w:cs="Arial"/>
        </w:rPr>
        <w:t>arrangements are bilaterally negotiated.</w:t>
      </w:r>
      <w:r>
        <w:rPr>
          <w:rFonts w:ascii="Arial" w:hAnsi="Arial" w:cs="Arial"/>
        </w:rPr>
        <w:t xml:space="preserve"> </w:t>
      </w:r>
    </w:p>
    <w:p w14:paraId="77BFE19B" w14:textId="77777777" w:rsidR="00BF750B" w:rsidRDefault="005E6AA4" w:rsidP="001351F2">
      <w:pPr>
        <w:pStyle w:val="Heading1"/>
        <w:numPr>
          <w:ilvl w:val="1"/>
          <w:numId w:val="44"/>
        </w:numPr>
        <w:rPr>
          <w:rFonts w:ascii="Arial" w:hAnsi="Arial"/>
          <w:sz w:val="24"/>
          <w:szCs w:val="24"/>
        </w:rPr>
      </w:pPr>
      <w:bookmarkStart w:id="25" w:name="_Toc156387035"/>
      <w:bookmarkStart w:id="26" w:name="_Toc162946391"/>
      <w:r>
        <w:rPr>
          <w:rFonts w:ascii="Arial" w:hAnsi="Arial"/>
          <w:sz w:val="24"/>
          <w:szCs w:val="24"/>
        </w:rPr>
        <w:t>IoT/M2M Numbers and Network Platforms</w:t>
      </w:r>
      <w:bookmarkEnd w:id="25"/>
      <w:bookmarkEnd w:id="26"/>
    </w:p>
    <w:p w14:paraId="173EF6C4" w14:textId="6E4AD609" w:rsidR="005E6AA4" w:rsidRPr="00B07640" w:rsidRDefault="00B07640" w:rsidP="001351F2">
      <w:pPr>
        <w:rPr>
          <w:rFonts w:ascii="Arial" w:hAnsi="Arial" w:cs="Arial"/>
        </w:rPr>
      </w:pPr>
      <w:r>
        <w:br/>
      </w:r>
      <w:r w:rsidR="005E6AA4" w:rsidRPr="00764C58">
        <w:rPr>
          <w:rFonts w:ascii="Arial" w:hAnsi="Arial" w:cs="Arial"/>
        </w:rPr>
        <w:t xml:space="preserve">The CSCN consulted the Network Working Group (NTWG) to obtain insight of the </w:t>
      </w:r>
      <w:r w:rsidR="00920CA4">
        <w:rPr>
          <w:rFonts w:ascii="Arial" w:hAnsi="Arial" w:cs="Arial"/>
        </w:rPr>
        <w:t>network address needs</w:t>
      </w:r>
      <w:r w:rsidR="005E6AA4" w:rsidRPr="00764C58">
        <w:rPr>
          <w:rFonts w:ascii="Arial" w:hAnsi="Arial" w:cs="Arial"/>
        </w:rPr>
        <w:t xml:space="preserve"> of IoT/M2M services.</w:t>
      </w:r>
      <w:r w:rsidR="005E6AA4">
        <w:rPr>
          <w:rFonts w:ascii="Arial" w:hAnsi="Arial" w:cs="Arial"/>
        </w:rPr>
        <w:t xml:space="preserve">  The NTWG opened TIF 43 and received and reviewed contributions and held </w:t>
      </w:r>
      <w:r w:rsidR="005E6AA4" w:rsidRPr="00F26739">
        <w:rPr>
          <w:rFonts w:ascii="Arial" w:hAnsi="Arial" w:cs="Arial"/>
        </w:rPr>
        <w:t xml:space="preserve">discussions. </w:t>
      </w:r>
      <w:r w:rsidR="005E6AA4">
        <w:rPr>
          <w:rFonts w:ascii="Arial" w:hAnsi="Arial" w:cs="Arial"/>
        </w:rPr>
        <w:t xml:space="preserve">The NTWG </w:t>
      </w:r>
      <w:r w:rsidR="00C978A7">
        <w:rPr>
          <w:rFonts w:ascii="Arial" w:hAnsi="Arial" w:cs="Arial"/>
        </w:rPr>
        <w:t xml:space="preserve">advised </w:t>
      </w:r>
      <w:r w:rsidR="005E6AA4">
        <w:rPr>
          <w:rFonts w:ascii="Arial" w:hAnsi="Arial" w:cs="Arial"/>
        </w:rPr>
        <w:t xml:space="preserve">that many </w:t>
      </w:r>
      <w:r w:rsidR="00492217">
        <w:rPr>
          <w:rFonts w:ascii="Arial" w:hAnsi="Arial" w:cs="Arial"/>
        </w:rPr>
        <w:t xml:space="preserve">Carrier </w:t>
      </w:r>
      <w:r w:rsidR="005E6AA4">
        <w:rPr>
          <w:rFonts w:ascii="Arial" w:hAnsi="Arial" w:cs="Arial"/>
        </w:rPr>
        <w:t xml:space="preserve">network infrastructure platforms, including </w:t>
      </w:r>
      <w:r w:rsidR="00D95C2C" w:rsidRPr="007220B7">
        <w:rPr>
          <w:rFonts w:ascii="Arial" w:hAnsi="Arial" w:cs="Arial"/>
        </w:rPr>
        <w:t>support systems,</w:t>
      </w:r>
      <w:r w:rsidR="005E6AA4" w:rsidRPr="007220B7">
        <w:rPr>
          <w:rStyle w:val="FootnoteReference"/>
          <w:rFonts w:ascii="Arial" w:hAnsi="Arial" w:cs="Arial"/>
        </w:rPr>
        <w:footnoteReference w:id="14"/>
      </w:r>
      <w:r w:rsidR="005E6AA4">
        <w:rPr>
          <w:rFonts w:ascii="Arial" w:hAnsi="Arial" w:cs="Arial"/>
        </w:rPr>
        <w:t xml:space="preserve"> require telephone numbers in a NANP format due to their software </w:t>
      </w:r>
      <w:r w:rsidR="0074706C">
        <w:rPr>
          <w:rFonts w:ascii="Arial" w:hAnsi="Arial" w:cs="Arial"/>
        </w:rPr>
        <w:t>architecture</w:t>
      </w:r>
      <w:r w:rsidR="005E6AA4">
        <w:rPr>
          <w:rFonts w:ascii="Arial" w:hAnsi="Arial" w:cs="Arial"/>
        </w:rPr>
        <w:t xml:space="preserve">.  </w:t>
      </w:r>
      <w:r w:rsidR="00D95C2C">
        <w:rPr>
          <w:rFonts w:ascii="Arial" w:hAnsi="Arial" w:cs="Arial"/>
        </w:rPr>
        <w:t xml:space="preserve">Support systems </w:t>
      </w:r>
      <w:r w:rsidR="00E63344">
        <w:rPr>
          <w:rFonts w:ascii="Arial" w:hAnsi="Arial" w:cs="Arial"/>
        </w:rPr>
        <w:t xml:space="preserve">can </w:t>
      </w:r>
      <w:r w:rsidR="00D95C2C">
        <w:rPr>
          <w:rFonts w:ascii="Arial" w:hAnsi="Arial" w:cs="Arial"/>
        </w:rPr>
        <w:t xml:space="preserve">be modified, but such changes </w:t>
      </w:r>
      <w:r w:rsidR="00E63344">
        <w:rPr>
          <w:rFonts w:ascii="Arial" w:hAnsi="Arial" w:cs="Arial"/>
        </w:rPr>
        <w:t xml:space="preserve">would </w:t>
      </w:r>
      <w:r w:rsidR="002268B0">
        <w:rPr>
          <w:rFonts w:ascii="Arial" w:hAnsi="Arial" w:cs="Arial"/>
        </w:rPr>
        <w:t>affect interoperabil</w:t>
      </w:r>
      <w:r w:rsidR="00DC284D">
        <w:rPr>
          <w:rFonts w:ascii="Arial" w:hAnsi="Arial" w:cs="Arial"/>
        </w:rPr>
        <w:t>ity</w:t>
      </w:r>
      <w:r w:rsidR="00F4018D">
        <w:rPr>
          <w:rFonts w:ascii="Arial" w:hAnsi="Arial" w:cs="Arial"/>
        </w:rPr>
        <w:t>, billing, activation</w:t>
      </w:r>
      <w:r w:rsidR="00A454D6">
        <w:rPr>
          <w:rFonts w:ascii="Arial" w:hAnsi="Arial" w:cs="Arial"/>
        </w:rPr>
        <w:t xml:space="preserve">, </w:t>
      </w:r>
      <w:proofErr w:type="gramStart"/>
      <w:r w:rsidR="00F4018D">
        <w:rPr>
          <w:rFonts w:ascii="Arial" w:hAnsi="Arial" w:cs="Arial"/>
        </w:rPr>
        <w:t>maintenance</w:t>
      </w:r>
      <w:proofErr w:type="gramEnd"/>
      <w:r w:rsidR="00DC284D">
        <w:rPr>
          <w:rFonts w:ascii="Arial" w:hAnsi="Arial" w:cs="Arial"/>
        </w:rPr>
        <w:t xml:space="preserve"> </w:t>
      </w:r>
      <w:r w:rsidR="0079513F">
        <w:rPr>
          <w:rFonts w:ascii="Arial" w:hAnsi="Arial" w:cs="Arial"/>
        </w:rPr>
        <w:t xml:space="preserve">and </w:t>
      </w:r>
      <w:r w:rsidR="0079513F">
        <w:rPr>
          <w:rFonts w:ascii="Arial" w:hAnsi="Arial" w:cs="Arial"/>
        </w:rPr>
        <w:t>regression testing</w:t>
      </w:r>
      <w:r w:rsidR="00A454D6">
        <w:rPr>
          <w:rFonts w:ascii="Arial" w:hAnsi="Arial" w:cs="Arial"/>
        </w:rPr>
        <w:t xml:space="preserve">. </w:t>
      </w:r>
      <w:r w:rsidR="00E63344">
        <w:rPr>
          <w:rFonts w:ascii="Arial" w:hAnsi="Arial" w:cs="Arial"/>
        </w:rPr>
        <w:t xml:space="preserve"> </w:t>
      </w:r>
      <w:r w:rsidR="00A454D6">
        <w:rPr>
          <w:rFonts w:ascii="Arial" w:hAnsi="Arial" w:cs="Arial"/>
        </w:rPr>
        <w:t xml:space="preserve">Such </w:t>
      </w:r>
      <w:r w:rsidR="00E63344">
        <w:rPr>
          <w:rFonts w:ascii="Arial" w:hAnsi="Arial" w:cs="Arial"/>
        </w:rPr>
        <w:t xml:space="preserve">extensive </w:t>
      </w:r>
      <w:r w:rsidR="00A454D6">
        <w:rPr>
          <w:rFonts w:ascii="Arial" w:hAnsi="Arial" w:cs="Arial"/>
        </w:rPr>
        <w:t>changes</w:t>
      </w:r>
      <w:r w:rsidR="0079513F">
        <w:rPr>
          <w:rFonts w:ascii="Arial" w:hAnsi="Arial" w:cs="Arial"/>
        </w:rPr>
        <w:t xml:space="preserve"> </w:t>
      </w:r>
      <w:r w:rsidR="00096505">
        <w:rPr>
          <w:rFonts w:ascii="Arial" w:hAnsi="Arial" w:cs="Arial"/>
        </w:rPr>
        <w:t>would</w:t>
      </w:r>
      <w:r w:rsidR="002268B0">
        <w:rPr>
          <w:rFonts w:ascii="Arial" w:hAnsi="Arial" w:cs="Arial"/>
        </w:rPr>
        <w:t xml:space="preserve"> </w:t>
      </w:r>
      <w:r w:rsidR="00D95C2C">
        <w:rPr>
          <w:rFonts w:ascii="Arial" w:hAnsi="Arial" w:cs="Arial"/>
        </w:rPr>
        <w:t xml:space="preserve">be </w:t>
      </w:r>
      <w:r w:rsidR="006447D5">
        <w:rPr>
          <w:rFonts w:ascii="Arial" w:hAnsi="Arial" w:cs="Arial"/>
        </w:rPr>
        <w:t xml:space="preserve">resource intensive </w:t>
      </w:r>
      <w:r w:rsidR="00D95C2C">
        <w:rPr>
          <w:rFonts w:ascii="Arial" w:hAnsi="Arial" w:cs="Arial"/>
        </w:rPr>
        <w:t xml:space="preserve">and </w:t>
      </w:r>
      <w:r w:rsidR="00A454D6">
        <w:rPr>
          <w:rFonts w:ascii="Arial" w:hAnsi="Arial" w:cs="Arial"/>
        </w:rPr>
        <w:t xml:space="preserve">require </w:t>
      </w:r>
      <w:r w:rsidR="009B648E">
        <w:rPr>
          <w:rFonts w:ascii="Arial" w:hAnsi="Arial" w:cs="Arial"/>
        </w:rPr>
        <w:t>years to implement</w:t>
      </w:r>
      <w:r w:rsidR="00D95C2C">
        <w:rPr>
          <w:rFonts w:ascii="Arial" w:hAnsi="Arial" w:cs="Arial"/>
        </w:rPr>
        <w:t xml:space="preserve">. </w:t>
      </w:r>
      <w:r w:rsidR="005E6AA4">
        <w:rPr>
          <w:rFonts w:ascii="Arial" w:hAnsi="Arial" w:cs="Arial"/>
        </w:rPr>
        <w:t>In some cases, devices require wireless Short Message Service (SMS) services to activate the device</w:t>
      </w:r>
      <w:r>
        <w:rPr>
          <w:rFonts w:ascii="Arial" w:hAnsi="Arial" w:cs="Arial"/>
        </w:rPr>
        <w:t xml:space="preserve">, </w:t>
      </w:r>
      <w:r w:rsidR="003C7DC3">
        <w:rPr>
          <w:rFonts w:ascii="Arial" w:hAnsi="Arial" w:cs="Arial"/>
        </w:rPr>
        <w:t>which in turn</w:t>
      </w:r>
      <w:r w:rsidR="00920CA4">
        <w:rPr>
          <w:rFonts w:ascii="Arial" w:hAnsi="Arial" w:cs="Arial"/>
        </w:rPr>
        <w:t xml:space="preserve"> </w:t>
      </w:r>
      <w:r>
        <w:rPr>
          <w:rFonts w:ascii="Arial" w:hAnsi="Arial" w:cs="Arial"/>
        </w:rPr>
        <w:t>require NANP-compatible TNs</w:t>
      </w:r>
      <w:r w:rsidR="005E6AA4">
        <w:rPr>
          <w:rFonts w:ascii="Arial" w:hAnsi="Arial" w:cs="Arial"/>
        </w:rPr>
        <w:t xml:space="preserve">. </w:t>
      </w:r>
    </w:p>
    <w:p w14:paraId="658D6FA1" w14:textId="77777777" w:rsidR="00B07640" w:rsidRPr="00B07640" w:rsidRDefault="00B07640" w:rsidP="001351F2">
      <w:pPr>
        <w:pStyle w:val="Heading1"/>
        <w:numPr>
          <w:ilvl w:val="1"/>
          <w:numId w:val="44"/>
        </w:numPr>
        <w:rPr>
          <w:rFonts w:ascii="Arial" w:hAnsi="Arial"/>
          <w:sz w:val="24"/>
          <w:szCs w:val="24"/>
        </w:rPr>
      </w:pPr>
      <w:bookmarkStart w:id="27" w:name="_Toc156387036"/>
      <w:bookmarkStart w:id="28" w:name="_Toc162946392"/>
      <w:r>
        <w:rPr>
          <w:rFonts w:ascii="Arial" w:hAnsi="Arial"/>
          <w:sz w:val="24"/>
          <w:szCs w:val="24"/>
        </w:rPr>
        <w:t xml:space="preserve">IoT/M2M use of </w:t>
      </w:r>
      <w:r w:rsidR="00CC2C57">
        <w:rPr>
          <w:rFonts w:ascii="Arial" w:hAnsi="Arial"/>
          <w:sz w:val="24"/>
          <w:szCs w:val="24"/>
        </w:rPr>
        <w:t>Alternative Addressing methods</w:t>
      </w:r>
      <w:bookmarkEnd w:id="27"/>
      <w:bookmarkEnd w:id="28"/>
      <w:r>
        <w:rPr>
          <w:rFonts w:ascii="Arial" w:hAnsi="Arial"/>
          <w:sz w:val="24"/>
          <w:szCs w:val="24"/>
        </w:rPr>
        <w:t xml:space="preserve"> </w:t>
      </w:r>
      <w:r>
        <w:rPr>
          <w:rFonts w:ascii="Arial" w:hAnsi="Arial"/>
          <w:sz w:val="24"/>
          <w:szCs w:val="24"/>
        </w:rPr>
        <w:br/>
      </w:r>
    </w:p>
    <w:p w14:paraId="7E0056B1" w14:textId="21F540BB" w:rsidR="00B07640" w:rsidRPr="004C7234" w:rsidRDefault="00B07640" w:rsidP="001351F2">
      <w:pPr>
        <w:rPr>
          <w:rFonts w:ascii="Arial" w:hAnsi="Arial" w:cs="Arial"/>
        </w:rPr>
      </w:pPr>
      <w:r w:rsidRPr="00EE20F4">
        <w:rPr>
          <w:rFonts w:ascii="Arial" w:hAnsi="Arial"/>
        </w:rPr>
        <w:t>Some IoT/M2M devices and systems do not require NANP or E.164-compatible TNs</w:t>
      </w:r>
      <w:r w:rsidRPr="00EE20F4">
        <w:rPr>
          <w:rFonts w:ascii="Arial" w:hAnsi="Arial" w:cs="Arial"/>
        </w:rPr>
        <w:t>.</w:t>
      </w:r>
      <w:r>
        <w:rPr>
          <w:rFonts w:ascii="Arial" w:hAnsi="Arial" w:cs="Arial"/>
        </w:rPr>
        <w:t xml:space="preserve">  In this case, the service provider may </w:t>
      </w:r>
      <w:r w:rsidR="00920CA4">
        <w:rPr>
          <w:rFonts w:ascii="Arial" w:hAnsi="Arial" w:cs="Arial"/>
        </w:rPr>
        <w:t>develop its own network address scheme that does not follow the NANP or E.164 TN format</w:t>
      </w:r>
      <w:r w:rsidR="00B81974">
        <w:rPr>
          <w:rFonts w:ascii="Arial" w:hAnsi="Arial" w:cs="Arial"/>
        </w:rPr>
        <w:t xml:space="preserve"> – </w:t>
      </w:r>
      <w:r w:rsidR="0099065B">
        <w:rPr>
          <w:rFonts w:ascii="Arial" w:hAnsi="Arial" w:cs="Arial"/>
        </w:rPr>
        <w:t>referred to as</w:t>
      </w:r>
      <w:r w:rsidR="00B81974">
        <w:rPr>
          <w:rFonts w:ascii="Arial" w:hAnsi="Arial" w:cs="Arial"/>
        </w:rPr>
        <w:t xml:space="preserve"> Alternative Numbering Schemes</w:t>
      </w:r>
      <w:r w:rsidR="00920CA4">
        <w:rPr>
          <w:rFonts w:ascii="Arial" w:hAnsi="Arial" w:cs="Arial"/>
        </w:rPr>
        <w:t>.  The schemes may be based upon almost anything, e.g., a derivative of a wireless device’s SIM card IMSI number</w:t>
      </w:r>
      <w:r w:rsidR="003F405D">
        <w:rPr>
          <w:rFonts w:ascii="Arial" w:hAnsi="Arial" w:cs="Arial"/>
        </w:rPr>
        <w:t>.  Th</w:t>
      </w:r>
      <w:r w:rsidR="00D95C2C">
        <w:rPr>
          <w:rFonts w:ascii="Arial" w:hAnsi="Arial" w:cs="Arial"/>
        </w:rPr>
        <w:t>is report assumes that the</w:t>
      </w:r>
      <w:r w:rsidR="003F405D">
        <w:rPr>
          <w:rFonts w:ascii="Arial" w:hAnsi="Arial" w:cs="Arial"/>
        </w:rPr>
        <w:t xml:space="preserve"> use of </w:t>
      </w:r>
      <w:r w:rsidR="00A76E66">
        <w:rPr>
          <w:rFonts w:ascii="Arial" w:hAnsi="Arial" w:cs="Arial"/>
        </w:rPr>
        <w:t>a</w:t>
      </w:r>
      <w:r w:rsidR="00A76E66" w:rsidRPr="00576391">
        <w:rPr>
          <w:rFonts w:ascii="Arial" w:hAnsi="Arial" w:cs="Arial"/>
        </w:rPr>
        <w:t>lternative numbering scheme</w:t>
      </w:r>
      <w:r w:rsidR="00A76E66">
        <w:rPr>
          <w:rFonts w:ascii="Arial" w:hAnsi="Arial" w:cs="Arial"/>
        </w:rPr>
        <w:t>s</w:t>
      </w:r>
      <w:r w:rsidR="00D27461">
        <w:rPr>
          <w:rFonts w:ascii="Arial" w:hAnsi="Arial" w:cs="Arial"/>
        </w:rPr>
        <w:t xml:space="preserve"> </w:t>
      </w:r>
      <w:r w:rsidR="00D95C2C">
        <w:rPr>
          <w:rFonts w:ascii="Arial" w:hAnsi="Arial" w:cs="Arial"/>
        </w:rPr>
        <w:t xml:space="preserve">will </w:t>
      </w:r>
      <w:r w:rsidR="003F405D">
        <w:rPr>
          <w:rFonts w:ascii="Arial" w:hAnsi="Arial" w:cs="Arial"/>
        </w:rPr>
        <w:t xml:space="preserve">be confined to the sponsoring </w:t>
      </w:r>
      <w:r w:rsidR="00C54B61">
        <w:rPr>
          <w:rFonts w:ascii="Arial" w:hAnsi="Arial" w:cs="Arial"/>
        </w:rPr>
        <w:t>C</w:t>
      </w:r>
      <w:r w:rsidR="00A76E66">
        <w:rPr>
          <w:rFonts w:ascii="Arial" w:hAnsi="Arial" w:cs="Arial"/>
        </w:rPr>
        <w:t>arrier’s</w:t>
      </w:r>
      <w:r w:rsidR="00A76E66">
        <w:rPr>
          <w:rFonts w:ascii="Arial" w:hAnsi="Arial" w:cs="Arial"/>
        </w:rPr>
        <w:t xml:space="preserve"> </w:t>
      </w:r>
      <w:r w:rsidR="003F405D">
        <w:rPr>
          <w:rFonts w:ascii="Arial" w:hAnsi="Arial" w:cs="Arial"/>
        </w:rPr>
        <w:t>network</w:t>
      </w:r>
      <w:r w:rsidR="008B3A93">
        <w:rPr>
          <w:rFonts w:ascii="Arial" w:hAnsi="Arial" w:cs="Arial"/>
        </w:rPr>
        <w:t xml:space="preserve"> (i.e., intra-network communication only)</w:t>
      </w:r>
      <w:r w:rsidR="00D95C2C">
        <w:rPr>
          <w:rFonts w:ascii="Arial" w:hAnsi="Arial" w:cs="Arial"/>
        </w:rPr>
        <w:t xml:space="preserve"> because the absence of unique addresses </w:t>
      </w:r>
      <w:r w:rsidR="00594E76">
        <w:rPr>
          <w:rFonts w:ascii="Arial" w:hAnsi="Arial" w:cs="Arial"/>
        </w:rPr>
        <w:t>would make inter-network communication difficult to arrange</w:t>
      </w:r>
      <w:r w:rsidR="008B3A93">
        <w:rPr>
          <w:rFonts w:ascii="Arial" w:hAnsi="Arial" w:cs="Arial"/>
        </w:rPr>
        <w:t>.</w:t>
      </w:r>
      <w:r w:rsidR="003269A4">
        <w:rPr>
          <w:rFonts w:ascii="Arial" w:hAnsi="Arial" w:cs="Arial"/>
        </w:rPr>
        <w:t xml:space="preserve"> </w:t>
      </w:r>
      <w:r w:rsidR="00BB3C34">
        <w:rPr>
          <w:rFonts w:ascii="Arial" w:hAnsi="Arial" w:cs="Arial"/>
        </w:rPr>
        <w:t xml:space="preserve">This limitation is significant if there is a chance that connectivity with the PSTN or other </w:t>
      </w:r>
      <w:r w:rsidR="00A76E66" w:rsidRPr="004C7234">
        <w:rPr>
          <w:rFonts w:ascii="Arial" w:hAnsi="Arial" w:cs="Arial"/>
        </w:rPr>
        <w:t xml:space="preserve">Carriers’ </w:t>
      </w:r>
      <w:r w:rsidR="00BB3C34" w:rsidRPr="004C7234">
        <w:rPr>
          <w:rFonts w:ascii="Arial" w:hAnsi="Arial" w:cs="Arial"/>
        </w:rPr>
        <w:t>IoT devices may be desired in the future.</w:t>
      </w:r>
    </w:p>
    <w:p w14:paraId="6E0AB105" w14:textId="77777777" w:rsidR="005E6AA4" w:rsidRPr="004C7234" w:rsidRDefault="00404E7F" w:rsidP="001351F2">
      <w:pPr>
        <w:pStyle w:val="Heading1"/>
        <w:numPr>
          <w:ilvl w:val="1"/>
          <w:numId w:val="44"/>
        </w:numPr>
        <w:rPr>
          <w:rFonts w:ascii="Arial" w:hAnsi="Arial"/>
          <w:sz w:val="24"/>
          <w:szCs w:val="24"/>
        </w:rPr>
      </w:pPr>
      <w:bookmarkStart w:id="29" w:name="_Toc156387037"/>
      <w:bookmarkStart w:id="30" w:name="_Toc162946393"/>
      <w:r w:rsidRPr="004C7234">
        <w:rPr>
          <w:rFonts w:ascii="Arial" w:hAnsi="Arial"/>
          <w:sz w:val="24"/>
          <w:szCs w:val="24"/>
        </w:rPr>
        <w:lastRenderedPageBreak/>
        <w:t>202</w:t>
      </w:r>
      <w:r w:rsidR="00973DC8" w:rsidRPr="004C7234">
        <w:rPr>
          <w:rFonts w:ascii="Arial" w:hAnsi="Arial"/>
          <w:sz w:val="24"/>
          <w:szCs w:val="24"/>
        </w:rPr>
        <w:t>2 and 202</w:t>
      </w:r>
      <w:r w:rsidRPr="004C7234">
        <w:rPr>
          <w:rFonts w:ascii="Arial" w:hAnsi="Arial"/>
          <w:sz w:val="24"/>
          <w:szCs w:val="24"/>
        </w:rPr>
        <w:t xml:space="preserve">3 </w:t>
      </w:r>
      <w:r w:rsidR="00B07640" w:rsidRPr="004C7234">
        <w:rPr>
          <w:rFonts w:ascii="Arial" w:hAnsi="Arial"/>
          <w:sz w:val="24"/>
          <w:szCs w:val="24"/>
        </w:rPr>
        <w:t>6YY NPA NRUF</w:t>
      </w:r>
      <w:bookmarkEnd w:id="29"/>
      <w:bookmarkEnd w:id="30"/>
      <w:r w:rsidR="00B07640" w:rsidRPr="004C7234">
        <w:rPr>
          <w:rFonts w:ascii="Arial" w:hAnsi="Arial"/>
          <w:sz w:val="24"/>
          <w:szCs w:val="24"/>
        </w:rPr>
        <w:t xml:space="preserve"> </w:t>
      </w:r>
    </w:p>
    <w:p w14:paraId="2B35FC3D" w14:textId="77777777" w:rsidR="008876AA" w:rsidRPr="007220B7" w:rsidRDefault="00A72618" w:rsidP="001351F2">
      <w:pPr>
        <w:rPr>
          <w:rFonts w:ascii="Arial" w:hAnsi="Arial" w:cs="Arial"/>
        </w:rPr>
      </w:pPr>
      <w:r w:rsidRPr="004C7234">
        <w:rPr>
          <w:rFonts w:ascii="Arial" w:hAnsi="Arial" w:cs="Arial"/>
        </w:rPr>
        <w:br/>
      </w:r>
      <w:r w:rsidR="008876AA" w:rsidRPr="007220B7">
        <w:rPr>
          <w:rFonts w:ascii="Arial" w:hAnsi="Arial" w:cs="Arial"/>
        </w:rPr>
        <w:t xml:space="preserve">The CNA extrapolates the </w:t>
      </w:r>
      <w:r w:rsidR="00F52018" w:rsidRPr="007220B7">
        <w:rPr>
          <w:rFonts w:ascii="Arial" w:hAnsi="Arial" w:cs="Arial"/>
        </w:rPr>
        <w:t xml:space="preserve">demand for non-geographic NPAs </w:t>
      </w:r>
      <w:r w:rsidR="008876AA" w:rsidRPr="007220B7">
        <w:rPr>
          <w:rFonts w:ascii="Arial" w:hAnsi="Arial" w:cs="Arial"/>
        </w:rPr>
        <w:t xml:space="preserve">to the year 2045.  The </w:t>
      </w:r>
      <w:r w:rsidR="006A1FF9" w:rsidRPr="007220B7">
        <w:rPr>
          <w:rFonts w:ascii="Arial" w:hAnsi="Arial" w:cs="Arial"/>
        </w:rPr>
        <w:t>demand</w:t>
      </w:r>
      <w:r w:rsidR="008876AA" w:rsidRPr="007220B7">
        <w:rPr>
          <w:rFonts w:ascii="Arial" w:hAnsi="Arial" w:cs="Arial"/>
        </w:rPr>
        <w:t xml:space="preserve"> predicted by the July 2022 forecast was alarming and because </w:t>
      </w:r>
      <w:r w:rsidR="00D27461" w:rsidRPr="007220B7">
        <w:rPr>
          <w:rFonts w:ascii="Arial" w:hAnsi="Arial" w:cs="Arial"/>
        </w:rPr>
        <w:t>of this</w:t>
      </w:r>
      <w:r w:rsidR="008876AA" w:rsidRPr="007220B7">
        <w:rPr>
          <w:rFonts w:ascii="Arial" w:hAnsi="Arial" w:cs="Arial"/>
        </w:rPr>
        <w:t xml:space="preserve">, the CSCN initiated CSCN Task 112 to undertake the development of </w:t>
      </w:r>
      <w:r w:rsidR="004C7234" w:rsidRPr="007220B7">
        <w:rPr>
          <w:rFonts w:ascii="Arial" w:hAnsi="Arial" w:cs="Arial"/>
        </w:rPr>
        <w:t xml:space="preserve">exhaust </w:t>
      </w:r>
      <w:r w:rsidR="008876AA" w:rsidRPr="007220B7">
        <w:rPr>
          <w:rFonts w:ascii="Arial" w:hAnsi="Arial" w:cs="Arial"/>
        </w:rPr>
        <w:t>mitigation methods for the 6YY NPAs.</w:t>
      </w:r>
      <w:r w:rsidR="00D27461" w:rsidRPr="007220B7">
        <w:rPr>
          <w:rFonts w:ascii="Arial" w:hAnsi="Arial" w:cs="Arial"/>
        </w:rPr>
        <w:t xml:space="preserve">  </w:t>
      </w:r>
    </w:p>
    <w:p w14:paraId="511A6788" w14:textId="5DB09CEA" w:rsidR="008876AA" w:rsidRPr="007220B7" w:rsidRDefault="008876AA" w:rsidP="001351F2">
      <w:pPr>
        <w:rPr>
          <w:rFonts w:ascii="Arial" w:hAnsi="Arial" w:cs="Arial"/>
        </w:rPr>
      </w:pPr>
      <w:r w:rsidRPr="007220B7">
        <w:rPr>
          <w:rFonts w:ascii="Arial" w:hAnsi="Arial" w:cs="Arial"/>
        </w:rPr>
        <w:t xml:space="preserve">The CSCN has chosen to disregard the July 2022 NRUF, based on the consistency of the other three forecasts, including two subsequent forecasts.  The analysis in this report will use the July 2023 forecast as the total demand.    </w:t>
      </w:r>
    </w:p>
    <w:p w14:paraId="7D02AF29" w14:textId="7AFDBCD0" w:rsidR="00D27461" w:rsidRDefault="008876AA" w:rsidP="001351F2">
      <w:pPr>
        <w:rPr>
          <w:rFonts w:ascii="Arial" w:hAnsi="Arial" w:cs="Arial"/>
        </w:rPr>
      </w:pPr>
      <w:r w:rsidRPr="007220B7">
        <w:rPr>
          <w:rFonts w:ascii="Arial" w:hAnsi="Arial" w:cs="Arial"/>
        </w:rPr>
        <w:t xml:space="preserve">The July 2023 NRUF of 6YY </w:t>
      </w:r>
      <w:r w:rsidR="00292304">
        <w:rPr>
          <w:rFonts w:ascii="Arial" w:hAnsi="Arial" w:cs="Arial"/>
        </w:rPr>
        <w:t>NPAs</w:t>
      </w:r>
      <w:r w:rsidRPr="007220B7">
        <w:rPr>
          <w:rFonts w:ascii="Arial" w:hAnsi="Arial" w:cs="Arial"/>
        </w:rPr>
        <w:t xml:space="preserve"> indicates that the </w:t>
      </w:r>
      <w:r w:rsidR="00D27461" w:rsidRPr="007220B7">
        <w:rPr>
          <w:rFonts w:ascii="Arial" w:hAnsi="Arial" w:cs="Arial"/>
        </w:rPr>
        <w:t xml:space="preserve">last </w:t>
      </w:r>
      <w:r w:rsidRPr="007220B7">
        <w:rPr>
          <w:rFonts w:ascii="Arial" w:hAnsi="Arial" w:cs="Arial"/>
        </w:rPr>
        <w:t xml:space="preserve">Canadian 6YY NPA will </w:t>
      </w:r>
      <w:r w:rsidR="00D27461" w:rsidRPr="007220B7">
        <w:rPr>
          <w:rFonts w:ascii="Arial" w:hAnsi="Arial" w:cs="Arial"/>
        </w:rPr>
        <w:t>be assigned in 2029.  U</w:t>
      </w:r>
      <w:r w:rsidRPr="007220B7">
        <w:rPr>
          <w:rFonts w:ascii="Arial" w:hAnsi="Arial" w:cs="Arial"/>
        </w:rPr>
        <w:t>nless mitigation measures are taken</w:t>
      </w:r>
      <w:r w:rsidR="00D27461" w:rsidRPr="007220B7">
        <w:rPr>
          <w:rFonts w:ascii="Arial" w:hAnsi="Arial" w:cs="Arial"/>
        </w:rPr>
        <w:t>, it will exhaust in 2030.</w:t>
      </w:r>
      <w:r w:rsidR="00CF43E7">
        <w:rPr>
          <w:rFonts w:ascii="Arial" w:hAnsi="Arial" w:cs="Arial"/>
        </w:rPr>
        <w:t xml:space="preserve"> </w:t>
      </w:r>
      <w:r w:rsidR="00CF43E7" w:rsidRPr="007220B7">
        <w:rPr>
          <w:rFonts w:ascii="Arial" w:hAnsi="Arial" w:cs="Arial"/>
        </w:rPr>
        <w:t>The resulting exhaust date is not alarming but is nonetheless concerning.</w:t>
      </w:r>
    </w:p>
    <w:p w14:paraId="6B06A12B" w14:textId="77777777" w:rsidR="002C41C2" w:rsidRDefault="00EB21E9" w:rsidP="001351F2">
      <w:pPr>
        <w:rPr>
          <w:rFonts w:ascii="Arial" w:hAnsi="Arial" w:cs="Arial"/>
        </w:rPr>
      </w:pPr>
      <w:r>
        <w:rPr>
          <w:rFonts w:ascii="Arial" w:hAnsi="Arial" w:cs="Arial"/>
        </w:rPr>
        <w:t>As mentioned above, t</w:t>
      </w:r>
      <w:r w:rsidR="00D30AD7">
        <w:rPr>
          <w:rFonts w:ascii="Arial" w:hAnsi="Arial" w:cs="Arial"/>
        </w:rPr>
        <w:t>he current NANPA forecast identifies NANP exhaust in 205</w:t>
      </w:r>
      <w:r>
        <w:rPr>
          <w:rFonts w:ascii="Arial" w:hAnsi="Arial" w:cs="Arial"/>
        </w:rPr>
        <w:t>1.</w:t>
      </w:r>
      <w:r w:rsidR="00D30AD7">
        <w:rPr>
          <w:rFonts w:ascii="Arial" w:hAnsi="Arial" w:cs="Arial"/>
        </w:rPr>
        <w:t xml:space="preserve">  Before exhaust, NANP Expansion (NANPE) must be implemented.  Early visions of NANPE involves a 4</w:t>
      </w:r>
      <w:r w:rsidR="00D30AD7" w:rsidRPr="008B136D">
        <w:rPr>
          <w:rFonts w:ascii="Arial" w:hAnsi="Arial" w:cs="Arial"/>
          <w:vertAlign w:val="superscript"/>
        </w:rPr>
        <w:t>th</w:t>
      </w:r>
      <w:r w:rsidR="00D30AD7">
        <w:rPr>
          <w:rFonts w:ascii="Arial" w:hAnsi="Arial" w:cs="Arial"/>
        </w:rPr>
        <w:t xml:space="preserve"> NPA digit and a 4</w:t>
      </w:r>
      <w:r w:rsidR="00D30AD7" w:rsidRPr="008B136D">
        <w:rPr>
          <w:rFonts w:ascii="Arial" w:hAnsi="Arial" w:cs="Arial"/>
          <w:vertAlign w:val="superscript"/>
        </w:rPr>
        <w:t>th</w:t>
      </w:r>
      <w:r w:rsidR="00D30AD7">
        <w:rPr>
          <w:rFonts w:ascii="Arial" w:hAnsi="Arial" w:cs="Arial"/>
        </w:rPr>
        <w:t xml:space="preserve"> NXX digit, which would severely impact </w:t>
      </w:r>
      <w:r w:rsidR="007C46B8">
        <w:rPr>
          <w:rFonts w:ascii="Arial" w:hAnsi="Arial" w:cs="Arial"/>
        </w:rPr>
        <w:t>Carrier</w:t>
      </w:r>
      <w:r w:rsidR="00D30AD7">
        <w:rPr>
          <w:rFonts w:ascii="Arial" w:hAnsi="Arial" w:cs="Arial"/>
        </w:rPr>
        <w:t xml:space="preserve"> network elements, end-user devices, </w:t>
      </w:r>
      <w:r w:rsidR="00D30AD7" w:rsidRPr="003D3B61">
        <w:rPr>
          <w:rFonts w:ascii="Arial" w:hAnsi="Arial" w:cs="Arial"/>
        </w:rPr>
        <w:t>support systems and the CNA’s number administration system.</w:t>
      </w:r>
      <w:r w:rsidR="00D30AD7">
        <w:rPr>
          <w:rFonts w:ascii="Arial" w:hAnsi="Arial" w:cs="Arial"/>
        </w:rPr>
        <w:t xml:space="preserve">  </w:t>
      </w:r>
    </w:p>
    <w:p w14:paraId="7861D066" w14:textId="77777777" w:rsidR="00D30AD7" w:rsidRDefault="00D30AD7" w:rsidP="001351F2">
      <w:pPr>
        <w:rPr>
          <w:rFonts w:ascii="Arial" w:hAnsi="Arial" w:cs="Arial"/>
        </w:rPr>
      </w:pPr>
      <w:r>
        <w:rPr>
          <w:rFonts w:ascii="Arial" w:hAnsi="Arial" w:cs="Arial"/>
        </w:rPr>
        <w:t xml:space="preserve">The CSCN expects that NANPE will require a lengthy implementation period, the timing of which is driven largely by the </w:t>
      </w:r>
      <w:r w:rsidRPr="002C41C2">
        <w:rPr>
          <w:rFonts w:ascii="Arial" w:hAnsi="Arial" w:cs="Arial"/>
        </w:rPr>
        <w:t>anticipated NANP exhaust date.  Since this implementation period has not yet begun, CSCN has no confidence that NANPE will provide relief for non-geographic numbers in Canada before 2030.</w:t>
      </w:r>
    </w:p>
    <w:p w14:paraId="5B84DAE7" w14:textId="77777777" w:rsidR="008876AA" w:rsidRPr="007220B7" w:rsidRDefault="008876AA" w:rsidP="001351F2">
      <w:pPr>
        <w:rPr>
          <w:rFonts w:ascii="Arial" w:hAnsi="Arial" w:cs="Arial"/>
        </w:rPr>
      </w:pPr>
      <w:r w:rsidRPr="007220B7">
        <w:rPr>
          <w:rFonts w:ascii="Arial" w:hAnsi="Arial" w:cs="Arial"/>
        </w:rPr>
        <w:t>Figure 2 illustrates the approximate assignment of the 6YY NPA</w:t>
      </w:r>
      <w:r w:rsidR="006D7ACE">
        <w:rPr>
          <w:rFonts w:ascii="Arial" w:hAnsi="Arial" w:cs="Arial"/>
        </w:rPr>
        <w:t>s</w:t>
      </w:r>
      <w:r w:rsidRPr="007220B7">
        <w:rPr>
          <w:rFonts w:ascii="Arial" w:hAnsi="Arial" w:cs="Arial"/>
        </w:rPr>
        <w:t xml:space="preserve"> reserved for Canada, under the assumptions that no mitigation measures are taken and that there are 800 assignable NXXs per NPA (some alternatives in this report use a different assumption).</w:t>
      </w:r>
    </w:p>
    <w:p w14:paraId="12CEC7E2" w14:textId="05A18875" w:rsidR="00D27461" w:rsidRPr="00DD5EB5" w:rsidRDefault="008876AA" w:rsidP="001351F2">
      <w:pPr>
        <w:rPr>
          <w:rFonts w:ascii="Arial" w:hAnsi="Arial" w:cs="Arial"/>
        </w:rPr>
      </w:pPr>
      <w:r w:rsidRPr="007220B7">
        <w:rPr>
          <w:rFonts w:ascii="Arial" w:hAnsi="Arial" w:cs="Arial"/>
        </w:rPr>
        <w:t xml:space="preserve">Figure 2 also identifies the year in which each 6YY NPA will be activated.  This is important in that certain measures discussed in this report may require industry activities before the NPA is activated.  E.g., </w:t>
      </w:r>
      <w:r w:rsidR="008465C8">
        <w:rPr>
          <w:rFonts w:ascii="Arial" w:hAnsi="Arial" w:cs="Arial"/>
        </w:rPr>
        <w:t xml:space="preserve">if </w:t>
      </w:r>
      <w:r w:rsidR="00E63344">
        <w:rPr>
          <w:rFonts w:ascii="Arial" w:hAnsi="Arial" w:cs="Arial"/>
        </w:rPr>
        <w:t>a certain</w:t>
      </w:r>
      <w:r w:rsidR="00E63344" w:rsidRPr="00CA7DF9">
        <w:rPr>
          <w:rFonts w:ascii="Arial" w:hAnsi="Arial" w:cs="Arial"/>
        </w:rPr>
        <w:t xml:space="preserve"> </w:t>
      </w:r>
      <w:r w:rsidR="00F53124" w:rsidRPr="00CA7DF9">
        <w:rPr>
          <w:rFonts w:ascii="Arial" w:hAnsi="Arial" w:cs="Arial"/>
        </w:rPr>
        <w:t>measure is to be applied to NPA 677</w:t>
      </w:r>
      <w:r w:rsidR="008465C8">
        <w:rPr>
          <w:rFonts w:ascii="Arial" w:hAnsi="Arial" w:cs="Arial"/>
        </w:rPr>
        <w:t xml:space="preserve"> </w:t>
      </w:r>
      <w:r w:rsidR="00F53124" w:rsidRPr="00CA7DF9">
        <w:rPr>
          <w:rFonts w:ascii="Arial" w:hAnsi="Arial" w:cs="Arial"/>
        </w:rPr>
        <w:t xml:space="preserve">and </w:t>
      </w:r>
      <w:r w:rsidRPr="007220B7">
        <w:rPr>
          <w:rFonts w:ascii="Arial" w:hAnsi="Arial" w:cs="Arial"/>
        </w:rPr>
        <w:t xml:space="preserve">it will take two </w:t>
      </w:r>
      <w:r w:rsidRPr="00DD5EB5">
        <w:rPr>
          <w:rFonts w:ascii="Arial" w:hAnsi="Arial" w:cs="Arial"/>
        </w:rPr>
        <w:t>years’ advance notice to</w:t>
      </w:r>
      <w:r w:rsidR="008465C8">
        <w:rPr>
          <w:rFonts w:ascii="Arial" w:hAnsi="Arial" w:cs="Arial"/>
        </w:rPr>
        <w:t xml:space="preserve"> </w:t>
      </w:r>
      <w:r w:rsidR="008465C8">
        <w:rPr>
          <w:rFonts w:ascii="Arial" w:hAnsi="Arial" w:cs="Arial"/>
        </w:rPr>
        <w:t xml:space="preserve">make the necessary </w:t>
      </w:r>
      <w:r w:rsidRPr="00DD5EB5">
        <w:rPr>
          <w:rFonts w:ascii="Arial" w:hAnsi="Arial" w:cs="Arial"/>
        </w:rPr>
        <w:t>change</w:t>
      </w:r>
      <w:r w:rsidR="008465C8">
        <w:rPr>
          <w:rFonts w:ascii="Arial" w:hAnsi="Arial" w:cs="Arial"/>
        </w:rPr>
        <w:t>s</w:t>
      </w:r>
      <w:r w:rsidRPr="00DD5EB5">
        <w:rPr>
          <w:rFonts w:ascii="Arial" w:hAnsi="Arial" w:cs="Arial"/>
        </w:rPr>
        <w:t>, the associated directive must be issued no later than 2025</w:t>
      </w:r>
      <w:r w:rsidR="008465C8">
        <w:rPr>
          <w:rFonts w:ascii="Arial" w:hAnsi="Arial" w:cs="Arial"/>
        </w:rPr>
        <w:t>.  This will allow the measure to be</w:t>
      </w:r>
      <w:r w:rsidR="008465C8">
        <w:rPr>
          <w:rFonts w:ascii="Arial" w:hAnsi="Arial" w:cs="Arial"/>
        </w:rPr>
        <w:t xml:space="preserve"> in </w:t>
      </w:r>
      <w:r w:rsidR="008465C8">
        <w:rPr>
          <w:rFonts w:ascii="Arial" w:hAnsi="Arial" w:cs="Arial"/>
        </w:rPr>
        <w:t xml:space="preserve">place in the beginning of 2028, the year that 677 will need to be </w:t>
      </w:r>
      <w:r w:rsidR="00DD27C4">
        <w:rPr>
          <w:rFonts w:ascii="Arial" w:hAnsi="Arial" w:cs="Arial"/>
        </w:rPr>
        <w:t>activated</w:t>
      </w:r>
      <w:r w:rsidR="008465C8">
        <w:rPr>
          <w:rFonts w:ascii="Arial" w:hAnsi="Arial" w:cs="Arial"/>
        </w:rPr>
        <w:t>.</w:t>
      </w:r>
    </w:p>
    <w:p w14:paraId="21D6D529" w14:textId="77777777" w:rsidR="00D27461" w:rsidRPr="007220B7" w:rsidRDefault="00D27461" w:rsidP="001351F2">
      <w:pPr>
        <w:rPr>
          <w:rFonts w:ascii="Arial" w:hAnsi="Arial" w:cs="Arial"/>
        </w:rPr>
      </w:pPr>
    </w:p>
    <w:p w14:paraId="49BC583E" w14:textId="08547E99" w:rsidR="00F969B1" w:rsidRPr="00F00180" w:rsidRDefault="00F969B1" w:rsidP="001351F2">
      <w:pPr>
        <w:pStyle w:val="Caption"/>
        <w:keepNext/>
        <w:rPr>
          <w:sz w:val="24"/>
        </w:rPr>
      </w:pPr>
      <w:bookmarkStart w:id="31" w:name="_Toc156385631"/>
      <w:bookmarkStart w:id="32" w:name="_Toc162946417"/>
      <w:r w:rsidRPr="00F00180">
        <w:rPr>
          <w:b/>
          <w:sz w:val="24"/>
        </w:rPr>
        <w:t xml:space="preserve">Figure </w:t>
      </w:r>
      <w:r w:rsidR="00262139" w:rsidRPr="00F00180">
        <w:rPr>
          <w:b/>
          <w:sz w:val="24"/>
        </w:rPr>
        <w:fldChar w:fldCharType="begin"/>
      </w:r>
      <w:r w:rsidR="00262139" w:rsidRPr="00F00180">
        <w:rPr>
          <w:b/>
          <w:sz w:val="24"/>
        </w:rPr>
        <w:instrText xml:space="preserve"> SEQ Figure \* ARABIC </w:instrText>
      </w:r>
      <w:r w:rsidR="00262139" w:rsidRPr="00F00180">
        <w:rPr>
          <w:b/>
          <w:sz w:val="24"/>
        </w:rPr>
        <w:fldChar w:fldCharType="separate"/>
      </w:r>
      <w:r w:rsidR="00924761" w:rsidRPr="00F00180">
        <w:rPr>
          <w:b/>
          <w:sz w:val="24"/>
        </w:rPr>
        <w:t>2</w:t>
      </w:r>
      <w:r w:rsidR="00262139" w:rsidRPr="00F00180">
        <w:rPr>
          <w:b/>
          <w:sz w:val="24"/>
        </w:rPr>
        <w:fldChar w:fldCharType="end"/>
      </w:r>
      <w:r w:rsidRPr="00F00180">
        <w:rPr>
          <w:b/>
          <w:sz w:val="24"/>
        </w:rPr>
        <w:t>:</w:t>
      </w:r>
      <w:r w:rsidRPr="00F00180">
        <w:rPr>
          <w:sz w:val="24"/>
        </w:rPr>
        <w:t xml:space="preserve"> July 2023 NRUF of 6YY NPA Consumption</w:t>
      </w:r>
      <w:bookmarkEnd w:id="31"/>
      <w:bookmarkEnd w:id="32"/>
    </w:p>
    <w:tbl>
      <w:tblPr>
        <w:tblW w:w="8315" w:type="dxa"/>
        <w:jc w:val="center"/>
        <w:tblLook w:val="04A0" w:firstRow="1" w:lastRow="0" w:firstColumn="1" w:lastColumn="0" w:noHBand="0" w:noVBand="1"/>
      </w:tblPr>
      <w:tblGrid>
        <w:gridCol w:w="1966"/>
        <w:gridCol w:w="907"/>
        <w:gridCol w:w="907"/>
        <w:gridCol w:w="907"/>
        <w:gridCol w:w="907"/>
        <w:gridCol w:w="907"/>
        <w:gridCol w:w="907"/>
        <w:gridCol w:w="907"/>
      </w:tblGrid>
      <w:tr w:rsidR="008876AA" w:rsidRPr="00DD5EB5" w14:paraId="4107DE3A" w14:textId="77777777" w:rsidTr="007220B7">
        <w:trPr>
          <w:trHeight w:val="173"/>
          <w:jc w:val="center"/>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20DE6"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eastAsia="Times New Roman" w:hAnsi="Arial" w:cs="Arial"/>
                <w:b/>
                <w:bCs/>
                <w:sz w:val="16"/>
                <w:szCs w:val="16"/>
                <w:lang w:eastAsia="en-CA"/>
              </w:rPr>
              <w:t>Years</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532C266B"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eastAsia="Times New Roman" w:hAnsi="Arial" w:cs="Arial"/>
                <w:b/>
                <w:bCs/>
                <w:sz w:val="16"/>
                <w:szCs w:val="16"/>
                <w:lang w:eastAsia="en-CA"/>
              </w:rPr>
              <w:t>2023</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5FCAA5FE"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eastAsia="Times New Roman" w:hAnsi="Arial" w:cs="Arial"/>
                <w:b/>
                <w:bCs/>
                <w:sz w:val="16"/>
                <w:szCs w:val="16"/>
                <w:lang w:eastAsia="en-CA"/>
              </w:rPr>
              <w:t>2024</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7C4EFA47"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eastAsia="Times New Roman" w:hAnsi="Arial" w:cs="Arial"/>
                <w:b/>
                <w:bCs/>
                <w:sz w:val="16"/>
                <w:szCs w:val="16"/>
                <w:lang w:eastAsia="en-CA"/>
              </w:rPr>
              <w:t>2025</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7CE48367"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eastAsia="Times New Roman" w:hAnsi="Arial" w:cs="Arial"/>
                <w:b/>
                <w:bCs/>
                <w:sz w:val="16"/>
                <w:szCs w:val="16"/>
                <w:lang w:eastAsia="en-CA"/>
              </w:rPr>
              <w:t>2026</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6592124F"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eastAsia="Times New Roman" w:hAnsi="Arial" w:cs="Arial"/>
                <w:b/>
                <w:bCs/>
                <w:sz w:val="16"/>
                <w:szCs w:val="16"/>
                <w:lang w:eastAsia="en-CA"/>
              </w:rPr>
              <w:t>2027</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2FD53F56"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eastAsia="Times New Roman" w:hAnsi="Arial" w:cs="Arial"/>
                <w:b/>
                <w:bCs/>
                <w:sz w:val="16"/>
                <w:szCs w:val="16"/>
                <w:lang w:eastAsia="en-CA"/>
              </w:rPr>
              <w:t>2028</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22EB8988"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eastAsia="Times New Roman" w:hAnsi="Arial" w:cs="Arial"/>
                <w:b/>
                <w:bCs/>
                <w:sz w:val="16"/>
                <w:szCs w:val="16"/>
                <w:lang w:eastAsia="en-CA"/>
              </w:rPr>
              <w:t>2029</w:t>
            </w:r>
          </w:p>
        </w:tc>
      </w:tr>
      <w:tr w:rsidR="008876AA" w:rsidRPr="00DD5EB5" w14:paraId="50543B9A" w14:textId="77777777" w:rsidTr="007220B7">
        <w:trPr>
          <w:trHeight w:val="436"/>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14:paraId="65E53D45"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eastAsia="Times New Roman" w:hAnsi="Arial" w:cs="Arial"/>
                <w:b/>
                <w:bCs/>
                <w:sz w:val="16"/>
                <w:szCs w:val="16"/>
                <w:lang w:eastAsia="en-CA"/>
              </w:rPr>
              <w:t>Total # of NPAs assigned by end of year</w:t>
            </w:r>
          </w:p>
        </w:tc>
        <w:tc>
          <w:tcPr>
            <w:tcW w:w="907" w:type="dxa"/>
            <w:tcBorders>
              <w:top w:val="nil"/>
              <w:left w:val="nil"/>
              <w:bottom w:val="single" w:sz="4" w:space="0" w:color="auto"/>
              <w:right w:val="single" w:sz="4" w:space="0" w:color="auto"/>
            </w:tcBorders>
            <w:shd w:val="clear" w:color="auto" w:fill="auto"/>
            <w:noWrap/>
            <w:vAlign w:val="bottom"/>
            <w:hideMark/>
          </w:tcPr>
          <w:p w14:paraId="266C76FB"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hAnsi="Arial" w:cs="Arial"/>
                <w:b/>
                <w:bCs/>
                <w:sz w:val="16"/>
                <w:szCs w:val="16"/>
              </w:rPr>
              <w:t>2</w:t>
            </w:r>
          </w:p>
        </w:tc>
        <w:tc>
          <w:tcPr>
            <w:tcW w:w="907" w:type="dxa"/>
            <w:tcBorders>
              <w:top w:val="nil"/>
              <w:left w:val="nil"/>
              <w:bottom w:val="single" w:sz="4" w:space="0" w:color="auto"/>
              <w:right w:val="single" w:sz="4" w:space="0" w:color="auto"/>
            </w:tcBorders>
            <w:shd w:val="clear" w:color="auto" w:fill="auto"/>
            <w:noWrap/>
            <w:vAlign w:val="bottom"/>
            <w:hideMark/>
          </w:tcPr>
          <w:p w14:paraId="2A1D38C7"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hAnsi="Arial" w:cs="Arial"/>
                <w:b/>
                <w:bCs/>
                <w:sz w:val="16"/>
                <w:szCs w:val="16"/>
              </w:rPr>
              <w:t>2</w:t>
            </w:r>
          </w:p>
        </w:tc>
        <w:tc>
          <w:tcPr>
            <w:tcW w:w="907" w:type="dxa"/>
            <w:tcBorders>
              <w:top w:val="nil"/>
              <w:left w:val="nil"/>
              <w:bottom w:val="single" w:sz="4" w:space="0" w:color="auto"/>
              <w:right w:val="single" w:sz="4" w:space="0" w:color="auto"/>
            </w:tcBorders>
            <w:shd w:val="clear" w:color="auto" w:fill="auto"/>
            <w:noWrap/>
            <w:vAlign w:val="bottom"/>
            <w:hideMark/>
          </w:tcPr>
          <w:p w14:paraId="3E17E99C"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hAnsi="Arial" w:cs="Arial"/>
                <w:b/>
                <w:bCs/>
                <w:sz w:val="16"/>
                <w:szCs w:val="16"/>
              </w:rPr>
              <w:t>3</w:t>
            </w:r>
          </w:p>
        </w:tc>
        <w:tc>
          <w:tcPr>
            <w:tcW w:w="907" w:type="dxa"/>
            <w:tcBorders>
              <w:top w:val="nil"/>
              <w:left w:val="nil"/>
              <w:bottom w:val="single" w:sz="4" w:space="0" w:color="auto"/>
              <w:right w:val="single" w:sz="4" w:space="0" w:color="auto"/>
            </w:tcBorders>
            <w:shd w:val="clear" w:color="auto" w:fill="auto"/>
            <w:noWrap/>
            <w:vAlign w:val="bottom"/>
            <w:hideMark/>
          </w:tcPr>
          <w:p w14:paraId="3669CBCE"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hAnsi="Arial" w:cs="Arial"/>
                <w:b/>
                <w:bCs/>
                <w:sz w:val="16"/>
                <w:szCs w:val="16"/>
              </w:rPr>
              <w:t>4</w:t>
            </w:r>
          </w:p>
        </w:tc>
        <w:tc>
          <w:tcPr>
            <w:tcW w:w="907" w:type="dxa"/>
            <w:tcBorders>
              <w:top w:val="nil"/>
              <w:left w:val="nil"/>
              <w:bottom w:val="single" w:sz="4" w:space="0" w:color="auto"/>
              <w:right w:val="single" w:sz="4" w:space="0" w:color="auto"/>
            </w:tcBorders>
            <w:shd w:val="clear" w:color="auto" w:fill="auto"/>
            <w:noWrap/>
            <w:vAlign w:val="bottom"/>
            <w:hideMark/>
          </w:tcPr>
          <w:p w14:paraId="13BC7847"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hAnsi="Arial" w:cs="Arial"/>
                <w:b/>
                <w:bCs/>
                <w:sz w:val="16"/>
                <w:szCs w:val="16"/>
              </w:rPr>
              <w:t>4</w:t>
            </w:r>
          </w:p>
        </w:tc>
        <w:tc>
          <w:tcPr>
            <w:tcW w:w="907" w:type="dxa"/>
            <w:tcBorders>
              <w:top w:val="nil"/>
              <w:left w:val="nil"/>
              <w:bottom w:val="single" w:sz="4" w:space="0" w:color="auto"/>
              <w:right w:val="single" w:sz="4" w:space="0" w:color="auto"/>
            </w:tcBorders>
            <w:shd w:val="clear" w:color="auto" w:fill="auto"/>
            <w:noWrap/>
            <w:vAlign w:val="bottom"/>
            <w:hideMark/>
          </w:tcPr>
          <w:p w14:paraId="405EF87C"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hAnsi="Arial" w:cs="Arial"/>
                <w:b/>
                <w:bCs/>
                <w:sz w:val="16"/>
                <w:szCs w:val="16"/>
              </w:rPr>
              <w:t>5</w:t>
            </w:r>
          </w:p>
        </w:tc>
        <w:tc>
          <w:tcPr>
            <w:tcW w:w="907" w:type="dxa"/>
            <w:tcBorders>
              <w:top w:val="nil"/>
              <w:left w:val="nil"/>
              <w:bottom w:val="single" w:sz="4" w:space="0" w:color="auto"/>
              <w:right w:val="single" w:sz="4" w:space="0" w:color="auto"/>
            </w:tcBorders>
            <w:shd w:val="clear" w:color="auto" w:fill="auto"/>
            <w:noWrap/>
            <w:vAlign w:val="bottom"/>
            <w:hideMark/>
          </w:tcPr>
          <w:p w14:paraId="166F8BD6"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hAnsi="Arial" w:cs="Arial"/>
                <w:b/>
                <w:bCs/>
                <w:sz w:val="16"/>
                <w:szCs w:val="16"/>
              </w:rPr>
              <w:t>6</w:t>
            </w:r>
          </w:p>
        </w:tc>
      </w:tr>
      <w:tr w:rsidR="008876AA" w:rsidRPr="00DD5EB5" w14:paraId="43740D25" w14:textId="77777777" w:rsidTr="007220B7">
        <w:trPr>
          <w:trHeight w:val="477"/>
          <w:jc w:val="center"/>
        </w:trPr>
        <w:tc>
          <w:tcPr>
            <w:tcW w:w="1966" w:type="dxa"/>
            <w:tcBorders>
              <w:top w:val="nil"/>
              <w:left w:val="single" w:sz="4" w:space="0" w:color="auto"/>
              <w:bottom w:val="single" w:sz="4" w:space="0" w:color="auto"/>
              <w:right w:val="single" w:sz="4" w:space="0" w:color="auto"/>
            </w:tcBorders>
            <w:shd w:val="clear" w:color="auto" w:fill="auto"/>
            <w:vAlign w:val="center"/>
            <w:hideMark/>
          </w:tcPr>
          <w:p w14:paraId="4A7F58E3" w14:textId="77777777" w:rsidR="008876AA" w:rsidRPr="007220B7" w:rsidRDefault="008876AA" w:rsidP="001351F2">
            <w:pPr>
              <w:spacing w:after="0" w:line="240" w:lineRule="auto"/>
              <w:rPr>
                <w:rFonts w:ascii="Arial" w:eastAsia="Times New Roman" w:hAnsi="Arial" w:cs="Arial"/>
                <w:b/>
                <w:bCs/>
                <w:sz w:val="16"/>
                <w:szCs w:val="16"/>
                <w:lang w:eastAsia="en-CA"/>
              </w:rPr>
            </w:pPr>
            <w:r w:rsidRPr="007220B7">
              <w:rPr>
                <w:rFonts w:ascii="Arial" w:eastAsia="Times New Roman" w:hAnsi="Arial" w:cs="Arial"/>
                <w:b/>
                <w:bCs/>
                <w:sz w:val="16"/>
                <w:szCs w:val="16"/>
                <w:lang w:eastAsia="en-CA"/>
              </w:rPr>
              <w:t>NPAs in service by end of year</w:t>
            </w:r>
            <w:r w:rsidR="00B933CB">
              <w:rPr>
                <w:rFonts w:ascii="Arial" w:eastAsia="Times New Roman" w:hAnsi="Arial" w:cs="Arial"/>
                <w:b/>
                <w:bCs/>
                <w:sz w:val="16"/>
                <w:szCs w:val="16"/>
                <w:lang w:eastAsia="en-CA"/>
              </w:rPr>
              <w:br/>
              <w:t>(new NPA bolded)</w:t>
            </w:r>
          </w:p>
        </w:tc>
        <w:tc>
          <w:tcPr>
            <w:tcW w:w="907" w:type="dxa"/>
            <w:tcBorders>
              <w:top w:val="nil"/>
              <w:left w:val="nil"/>
              <w:bottom w:val="single" w:sz="4" w:space="0" w:color="auto"/>
              <w:right w:val="single" w:sz="4" w:space="0" w:color="auto"/>
            </w:tcBorders>
            <w:shd w:val="clear" w:color="auto" w:fill="auto"/>
            <w:noWrap/>
            <w:vAlign w:val="bottom"/>
            <w:hideMark/>
          </w:tcPr>
          <w:p w14:paraId="1281E36B" w14:textId="77777777" w:rsidR="008876AA" w:rsidRPr="007220B7" w:rsidRDefault="008876AA" w:rsidP="001351F2">
            <w:pPr>
              <w:spacing w:after="0" w:line="240" w:lineRule="auto"/>
              <w:rPr>
                <w:rFonts w:ascii="Arial" w:eastAsia="Times New Roman" w:hAnsi="Arial" w:cs="Arial"/>
                <w:sz w:val="16"/>
                <w:szCs w:val="16"/>
                <w:lang w:eastAsia="en-CA"/>
              </w:rPr>
            </w:pPr>
            <w:r w:rsidRPr="007220B7">
              <w:rPr>
                <w:rFonts w:ascii="Arial" w:eastAsia="Times New Roman" w:hAnsi="Arial" w:cs="Arial"/>
                <w:sz w:val="16"/>
                <w:szCs w:val="16"/>
                <w:lang w:eastAsia="en-CA"/>
              </w:rPr>
              <w:t>622 633</w:t>
            </w:r>
          </w:p>
          <w:p w14:paraId="1BFE4961" w14:textId="77777777" w:rsidR="008876AA" w:rsidRPr="007220B7" w:rsidRDefault="008876AA" w:rsidP="001351F2">
            <w:pPr>
              <w:spacing w:after="0" w:line="240" w:lineRule="auto"/>
              <w:rPr>
                <w:rFonts w:ascii="Arial" w:eastAsia="Times New Roman" w:hAnsi="Arial" w:cs="Arial"/>
                <w:sz w:val="16"/>
                <w:szCs w:val="16"/>
                <w:lang w:eastAsia="en-CA"/>
              </w:rPr>
            </w:pPr>
          </w:p>
          <w:p w14:paraId="0551C8FC" w14:textId="77777777" w:rsidR="008876AA" w:rsidRPr="007220B7" w:rsidRDefault="008876AA" w:rsidP="001351F2">
            <w:pPr>
              <w:spacing w:after="0" w:line="240" w:lineRule="auto"/>
              <w:rPr>
                <w:rFonts w:ascii="Arial" w:eastAsia="Times New Roman" w:hAnsi="Arial" w:cs="Arial"/>
                <w:sz w:val="16"/>
                <w:szCs w:val="16"/>
                <w:lang w:eastAsia="en-CA"/>
              </w:rPr>
            </w:pPr>
          </w:p>
        </w:tc>
        <w:tc>
          <w:tcPr>
            <w:tcW w:w="907" w:type="dxa"/>
            <w:tcBorders>
              <w:top w:val="nil"/>
              <w:left w:val="nil"/>
              <w:bottom w:val="single" w:sz="4" w:space="0" w:color="auto"/>
              <w:right w:val="single" w:sz="4" w:space="0" w:color="auto"/>
            </w:tcBorders>
            <w:shd w:val="clear" w:color="auto" w:fill="auto"/>
            <w:vAlign w:val="bottom"/>
            <w:hideMark/>
          </w:tcPr>
          <w:p w14:paraId="2D982E9C" w14:textId="77777777" w:rsidR="008876AA" w:rsidRPr="007220B7" w:rsidRDefault="008876AA" w:rsidP="001351F2">
            <w:pPr>
              <w:spacing w:after="0" w:line="240" w:lineRule="auto"/>
              <w:rPr>
                <w:rFonts w:ascii="Arial" w:eastAsia="Times New Roman" w:hAnsi="Arial" w:cs="Arial"/>
                <w:sz w:val="16"/>
                <w:szCs w:val="16"/>
                <w:lang w:eastAsia="en-CA"/>
              </w:rPr>
            </w:pPr>
            <w:r w:rsidRPr="007220B7">
              <w:rPr>
                <w:rFonts w:ascii="Arial" w:eastAsia="Times New Roman" w:hAnsi="Arial" w:cs="Arial"/>
                <w:sz w:val="16"/>
                <w:szCs w:val="16"/>
                <w:lang w:eastAsia="en-CA"/>
              </w:rPr>
              <w:t>622 633</w:t>
            </w:r>
          </w:p>
          <w:p w14:paraId="4240DFF4" w14:textId="77777777" w:rsidR="008876AA" w:rsidRPr="007220B7" w:rsidRDefault="008876AA" w:rsidP="001351F2">
            <w:pPr>
              <w:spacing w:after="0" w:line="240" w:lineRule="auto"/>
              <w:rPr>
                <w:rFonts w:ascii="Arial" w:eastAsia="Times New Roman" w:hAnsi="Arial" w:cs="Arial"/>
                <w:sz w:val="16"/>
                <w:szCs w:val="16"/>
                <w:lang w:eastAsia="en-CA"/>
              </w:rPr>
            </w:pPr>
          </w:p>
          <w:p w14:paraId="4DDC5FD8" w14:textId="77777777" w:rsidR="008876AA" w:rsidRPr="007220B7" w:rsidRDefault="008876AA" w:rsidP="001351F2">
            <w:pPr>
              <w:spacing w:after="0" w:line="240" w:lineRule="auto"/>
              <w:rPr>
                <w:rFonts w:ascii="Arial" w:eastAsia="Times New Roman" w:hAnsi="Arial" w:cs="Arial"/>
                <w:sz w:val="16"/>
                <w:szCs w:val="16"/>
                <w:lang w:eastAsia="en-CA"/>
              </w:rPr>
            </w:pPr>
          </w:p>
        </w:tc>
        <w:tc>
          <w:tcPr>
            <w:tcW w:w="907" w:type="dxa"/>
            <w:tcBorders>
              <w:top w:val="nil"/>
              <w:left w:val="nil"/>
              <w:bottom w:val="single" w:sz="4" w:space="0" w:color="auto"/>
              <w:right w:val="single" w:sz="4" w:space="0" w:color="auto"/>
            </w:tcBorders>
            <w:shd w:val="clear" w:color="auto" w:fill="auto"/>
            <w:vAlign w:val="bottom"/>
            <w:hideMark/>
          </w:tcPr>
          <w:p w14:paraId="1A55B0E5" w14:textId="77777777" w:rsidR="008876AA" w:rsidRPr="007220B7" w:rsidRDefault="008876AA" w:rsidP="001351F2">
            <w:pPr>
              <w:spacing w:after="0" w:line="240" w:lineRule="auto"/>
              <w:rPr>
                <w:rFonts w:ascii="Arial" w:eastAsia="Times New Roman" w:hAnsi="Arial" w:cs="Arial"/>
                <w:sz w:val="16"/>
                <w:szCs w:val="16"/>
                <w:lang w:eastAsia="en-CA"/>
              </w:rPr>
            </w:pPr>
            <w:r w:rsidRPr="007220B7">
              <w:rPr>
                <w:rFonts w:ascii="Arial" w:eastAsia="Times New Roman" w:hAnsi="Arial" w:cs="Arial"/>
                <w:sz w:val="16"/>
                <w:szCs w:val="16"/>
                <w:lang w:eastAsia="en-CA"/>
              </w:rPr>
              <w:t xml:space="preserve">622 633 </w:t>
            </w:r>
            <w:r w:rsidRPr="007220B7">
              <w:rPr>
                <w:rFonts w:ascii="Arial" w:eastAsia="Times New Roman" w:hAnsi="Arial" w:cs="Arial"/>
                <w:b/>
                <w:bCs/>
                <w:sz w:val="16"/>
                <w:szCs w:val="16"/>
                <w:lang w:eastAsia="en-CA"/>
              </w:rPr>
              <w:t>644</w:t>
            </w:r>
          </w:p>
        </w:tc>
        <w:tc>
          <w:tcPr>
            <w:tcW w:w="907" w:type="dxa"/>
            <w:tcBorders>
              <w:top w:val="nil"/>
              <w:left w:val="nil"/>
              <w:bottom w:val="single" w:sz="4" w:space="0" w:color="auto"/>
              <w:right w:val="single" w:sz="4" w:space="0" w:color="auto"/>
            </w:tcBorders>
            <w:shd w:val="clear" w:color="auto" w:fill="auto"/>
            <w:vAlign w:val="bottom"/>
            <w:hideMark/>
          </w:tcPr>
          <w:p w14:paraId="64700958" w14:textId="77777777" w:rsidR="008876AA" w:rsidRPr="007220B7" w:rsidRDefault="008876AA" w:rsidP="001351F2">
            <w:pPr>
              <w:spacing w:after="0" w:line="240" w:lineRule="auto"/>
              <w:rPr>
                <w:rFonts w:ascii="Arial" w:eastAsia="Times New Roman" w:hAnsi="Arial" w:cs="Arial"/>
                <w:sz w:val="16"/>
                <w:szCs w:val="16"/>
                <w:lang w:eastAsia="en-CA"/>
              </w:rPr>
            </w:pPr>
            <w:r w:rsidRPr="007220B7">
              <w:rPr>
                <w:rFonts w:ascii="Arial" w:eastAsia="Times New Roman" w:hAnsi="Arial" w:cs="Arial"/>
                <w:sz w:val="16"/>
                <w:szCs w:val="16"/>
                <w:lang w:eastAsia="en-CA"/>
              </w:rPr>
              <w:t xml:space="preserve">622 633 644 </w:t>
            </w:r>
            <w:r w:rsidRPr="007220B7">
              <w:rPr>
                <w:rFonts w:ascii="Arial" w:eastAsia="Times New Roman" w:hAnsi="Arial" w:cs="Arial"/>
                <w:b/>
                <w:bCs/>
                <w:sz w:val="16"/>
                <w:szCs w:val="16"/>
                <w:lang w:eastAsia="en-CA"/>
              </w:rPr>
              <w:t>655</w:t>
            </w:r>
            <w:r w:rsidRPr="007220B7">
              <w:rPr>
                <w:rFonts w:ascii="Arial" w:eastAsia="Times New Roman" w:hAnsi="Arial" w:cs="Arial"/>
                <w:sz w:val="16"/>
                <w:szCs w:val="16"/>
                <w:lang w:eastAsia="en-CA"/>
              </w:rPr>
              <w:t xml:space="preserve"> </w:t>
            </w:r>
          </w:p>
        </w:tc>
        <w:tc>
          <w:tcPr>
            <w:tcW w:w="907" w:type="dxa"/>
            <w:tcBorders>
              <w:top w:val="nil"/>
              <w:left w:val="nil"/>
              <w:bottom w:val="single" w:sz="4" w:space="0" w:color="auto"/>
              <w:right w:val="single" w:sz="4" w:space="0" w:color="auto"/>
            </w:tcBorders>
            <w:shd w:val="clear" w:color="auto" w:fill="auto"/>
            <w:vAlign w:val="bottom"/>
            <w:hideMark/>
          </w:tcPr>
          <w:p w14:paraId="3923721A" w14:textId="77777777" w:rsidR="008876AA" w:rsidRPr="007220B7" w:rsidRDefault="008876AA" w:rsidP="001351F2">
            <w:pPr>
              <w:spacing w:after="0" w:line="240" w:lineRule="auto"/>
              <w:rPr>
                <w:rFonts w:ascii="Arial" w:eastAsia="Times New Roman" w:hAnsi="Arial" w:cs="Arial"/>
                <w:sz w:val="16"/>
                <w:szCs w:val="16"/>
                <w:lang w:eastAsia="en-CA"/>
              </w:rPr>
            </w:pPr>
            <w:r w:rsidRPr="007220B7">
              <w:rPr>
                <w:rFonts w:ascii="Arial" w:eastAsia="Times New Roman" w:hAnsi="Arial" w:cs="Arial"/>
                <w:sz w:val="16"/>
                <w:szCs w:val="16"/>
                <w:lang w:eastAsia="en-CA"/>
              </w:rPr>
              <w:t xml:space="preserve">622 633 644 655 </w:t>
            </w:r>
          </w:p>
        </w:tc>
        <w:tc>
          <w:tcPr>
            <w:tcW w:w="907" w:type="dxa"/>
            <w:tcBorders>
              <w:top w:val="nil"/>
              <w:left w:val="nil"/>
              <w:bottom w:val="single" w:sz="4" w:space="0" w:color="auto"/>
              <w:right w:val="single" w:sz="4" w:space="0" w:color="auto"/>
            </w:tcBorders>
            <w:shd w:val="clear" w:color="auto" w:fill="auto"/>
            <w:vAlign w:val="bottom"/>
            <w:hideMark/>
          </w:tcPr>
          <w:p w14:paraId="1FDD0FF6" w14:textId="77777777" w:rsidR="008876AA" w:rsidRPr="007220B7" w:rsidRDefault="008876AA" w:rsidP="001351F2">
            <w:pPr>
              <w:spacing w:after="0" w:line="240" w:lineRule="auto"/>
              <w:rPr>
                <w:rFonts w:ascii="Arial" w:eastAsia="Times New Roman" w:hAnsi="Arial" w:cs="Arial"/>
                <w:sz w:val="16"/>
                <w:szCs w:val="16"/>
                <w:lang w:eastAsia="en-CA"/>
              </w:rPr>
            </w:pPr>
            <w:r w:rsidRPr="007220B7">
              <w:rPr>
                <w:rFonts w:ascii="Arial" w:eastAsia="Times New Roman" w:hAnsi="Arial" w:cs="Arial"/>
                <w:sz w:val="16"/>
                <w:szCs w:val="16"/>
                <w:lang w:eastAsia="en-CA"/>
              </w:rPr>
              <w:t xml:space="preserve">622 633 644 655 </w:t>
            </w:r>
            <w:r w:rsidRPr="007220B7">
              <w:rPr>
                <w:rFonts w:ascii="Arial" w:eastAsia="Times New Roman" w:hAnsi="Arial" w:cs="Arial"/>
                <w:b/>
                <w:bCs/>
                <w:sz w:val="16"/>
                <w:szCs w:val="16"/>
                <w:lang w:eastAsia="en-CA"/>
              </w:rPr>
              <w:t>677</w:t>
            </w:r>
          </w:p>
        </w:tc>
        <w:tc>
          <w:tcPr>
            <w:tcW w:w="907" w:type="dxa"/>
            <w:tcBorders>
              <w:top w:val="nil"/>
              <w:left w:val="nil"/>
              <w:bottom w:val="single" w:sz="4" w:space="0" w:color="auto"/>
              <w:right w:val="single" w:sz="4" w:space="0" w:color="auto"/>
            </w:tcBorders>
            <w:shd w:val="clear" w:color="auto" w:fill="auto"/>
            <w:hideMark/>
          </w:tcPr>
          <w:p w14:paraId="7EBA12E6" w14:textId="77777777" w:rsidR="008876AA" w:rsidRPr="007220B7" w:rsidRDefault="008876AA" w:rsidP="001351F2">
            <w:pPr>
              <w:spacing w:after="0" w:line="240" w:lineRule="auto"/>
              <w:rPr>
                <w:rFonts w:ascii="Arial" w:eastAsia="Times New Roman" w:hAnsi="Arial" w:cs="Arial"/>
                <w:sz w:val="16"/>
                <w:szCs w:val="16"/>
                <w:lang w:eastAsia="en-CA"/>
              </w:rPr>
            </w:pPr>
            <w:r w:rsidRPr="007220B7">
              <w:rPr>
                <w:rFonts w:ascii="Arial" w:eastAsia="Times New Roman" w:hAnsi="Arial" w:cs="Arial"/>
                <w:sz w:val="16"/>
                <w:szCs w:val="16"/>
                <w:lang w:eastAsia="en-CA"/>
              </w:rPr>
              <w:t xml:space="preserve">622 633 644 655 677 </w:t>
            </w:r>
            <w:r w:rsidRPr="007220B7">
              <w:rPr>
                <w:rFonts w:ascii="Arial" w:eastAsia="Times New Roman" w:hAnsi="Arial" w:cs="Arial"/>
                <w:b/>
                <w:bCs/>
                <w:sz w:val="16"/>
                <w:szCs w:val="16"/>
                <w:lang w:eastAsia="en-CA"/>
              </w:rPr>
              <w:t>688</w:t>
            </w:r>
          </w:p>
        </w:tc>
      </w:tr>
    </w:tbl>
    <w:p w14:paraId="56292D91" w14:textId="77777777" w:rsidR="00571859" w:rsidRPr="007220B7" w:rsidRDefault="00571859" w:rsidP="001351F2">
      <w:pPr>
        <w:rPr>
          <w:rFonts w:ascii="Arial" w:hAnsi="Arial" w:cs="Arial"/>
        </w:rPr>
      </w:pPr>
    </w:p>
    <w:p w14:paraId="04C5E773" w14:textId="77777777" w:rsidR="00B722B4" w:rsidRPr="00DD5EB5" w:rsidRDefault="00404E7F" w:rsidP="001351F2">
      <w:pPr>
        <w:rPr>
          <w:rFonts w:ascii="Arial" w:hAnsi="Arial" w:cs="Arial"/>
        </w:rPr>
      </w:pPr>
      <w:r w:rsidRPr="007220B7">
        <w:rPr>
          <w:rFonts w:ascii="Arial" w:hAnsi="Arial" w:cs="Arial"/>
        </w:rPr>
        <w:t xml:space="preserve">The current and previous NRUFs are plotted in </w:t>
      </w:r>
      <w:r w:rsidR="008876AA" w:rsidRPr="007220B7">
        <w:rPr>
          <w:rFonts w:ascii="Arial" w:hAnsi="Arial" w:cs="Arial"/>
        </w:rPr>
        <w:t>Figure 3</w:t>
      </w:r>
      <w:r w:rsidR="00B722B4" w:rsidRPr="007220B7">
        <w:rPr>
          <w:rFonts w:ascii="Arial" w:hAnsi="Arial" w:cs="Arial"/>
        </w:rPr>
        <w:t xml:space="preserve"> </w:t>
      </w:r>
      <w:r w:rsidRPr="007220B7">
        <w:rPr>
          <w:rFonts w:ascii="Arial" w:hAnsi="Arial" w:cs="Arial"/>
        </w:rPr>
        <w:t>below.</w:t>
      </w:r>
      <w:r w:rsidR="00C24ECA" w:rsidRPr="007220B7">
        <w:rPr>
          <w:rStyle w:val="FootnoteReference"/>
          <w:rFonts w:ascii="Arial" w:hAnsi="Arial" w:cs="Arial"/>
        </w:rPr>
        <w:footnoteReference w:id="15"/>
      </w:r>
      <w:r w:rsidRPr="007220B7">
        <w:rPr>
          <w:rFonts w:ascii="Arial" w:hAnsi="Arial" w:cs="Arial"/>
        </w:rPr>
        <w:t xml:space="preserve">  </w:t>
      </w:r>
      <w:r w:rsidR="00D27461" w:rsidRPr="007220B7">
        <w:rPr>
          <w:rFonts w:ascii="Arial" w:hAnsi="Arial" w:cs="Arial"/>
        </w:rPr>
        <w:t xml:space="preserve">Also shown (the black line) is the current </w:t>
      </w:r>
      <w:r w:rsidR="00252EFE">
        <w:rPr>
          <w:rFonts w:ascii="Arial" w:hAnsi="Arial" w:cs="Arial"/>
        </w:rPr>
        <w:t>pool</w:t>
      </w:r>
      <w:r w:rsidR="00252EFE" w:rsidRPr="007220B7">
        <w:rPr>
          <w:rFonts w:ascii="Arial" w:hAnsi="Arial" w:cs="Arial"/>
        </w:rPr>
        <w:t xml:space="preserve"> </w:t>
      </w:r>
      <w:r w:rsidR="00D27461" w:rsidRPr="007220B7">
        <w:rPr>
          <w:rFonts w:ascii="Arial" w:hAnsi="Arial" w:cs="Arial"/>
        </w:rPr>
        <w:t xml:space="preserve">of </w:t>
      </w:r>
      <w:r w:rsidR="00D27461" w:rsidRPr="00DD5EB5">
        <w:rPr>
          <w:rFonts w:ascii="Arial" w:hAnsi="Arial" w:cs="Arial"/>
        </w:rPr>
        <w:t>6YY NPAs, under the same assumptions as for Figure 2.</w:t>
      </w:r>
    </w:p>
    <w:p w14:paraId="374CDD1A" w14:textId="35859C3A" w:rsidR="00F969B1" w:rsidRPr="00F00180" w:rsidRDefault="00F969B1" w:rsidP="001351F2">
      <w:pPr>
        <w:pStyle w:val="Caption"/>
        <w:keepNext/>
        <w:rPr>
          <w:sz w:val="24"/>
        </w:rPr>
      </w:pPr>
      <w:bookmarkStart w:id="33" w:name="_Toc156385632"/>
      <w:bookmarkStart w:id="34" w:name="_Toc162946418"/>
      <w:r w:rsidRPr="00F00180">
        <w:rPr>
          <w:b/>
          <w:sz w:val="24"/>
        </w:rPr>
        <w:lastRenderedPageBreak/>
        <w:t xml:space="preserve">Figure </w:t>
      </w:r>
      <w:r w:rsidR="00262139" w:rsidRPr="00F00180">
        <w:rPr>
          <w:b/>
          <w:sz w:val="24"/>
        </w:rPr>
        <w:fldChar w:fldCharType="begin"/>
      </w:r>
      <w:r w:rsidR="00262139" w:rsidRPr="00F00180">
        <w:rPr>
          <w:b/>
          <w:sz w:val="24"/>
        </w:rPr>
        <w:instrText xml:space="preserve"> SEQ Figure \* ARABIC </w:instrText>
      </w:r>
      <w:r w:rsidR="00262139" w:rsidRPr="00F00180">
        <w:rPr>
          <w:b/>
          <w:sz w:val="24"/>
        </w:rPr>
        <w:fldChar w:fldCharType="separate"/>
      </w:r>
      <w:r w:rsidR="00924761" w:rsidRPr="00F00180">
        <w:rPr>
          <w:b/>
          <w:sz w:val="24"/>
        </w:rPr>
        <w:t>3</w:t>
      </w:r>
      <w:r w:rsidR="00262139" w:rsidRPr="00F00180">
        <w:rPr>
          <w:b/>
          <w:sz w:val="24"/>
        </w:rPr>
        <w:fldChar w:fldCharType="end"/>
      </w:r>
      <w:r w:rsidRPr="00F00180">
        <w:rPr>
          <w:sz w:val="24"/>
        </w:rPr>
        <w:t xml:space="preserve">: Comparison of NRUF values and current pool of 6YY </w:t>
      </w:r>
      <w:proofErr w:type="gramStart"/>
      <w:r w:rsidRPr="00F00180">
        <w:rPr>
          <w:sz w:val="24"/>
        </w:rPr>
        <w:t>NPAs</w:t>
      </w:r>
      <w:bookmarkEnd w:id="33"/>
      <w:bookmarkEnd w:id="34"/>
      <w:proofErr w:type="gramEnd"/>
    </w:p>
    <w:p w14:paraId="1ACAFC60" w14:textId="77777777" w:rsidR="00225D48" w:rsidRPr="00916C5C" w:rsidRDefault="003C7451" w:rsidP="001351F2">
      <w:pPr>
        <w:rPr>
          <w:rFonts w:ascii="Arial" w:hAnsi="Arial" w:cs="Arial"/>
          <w:b/>
        </w:rPr>
      </w:pPr>
      <w:r>
        <w:rPr>
          <w:noProof/>
          <w:lang w:val="en-US"/>
        </w:rPr>
        <w:drawing>
          <wp:inline distT="0" distB="0" distL="0" distR="0" wp14:anchorId="5E4E4AC5" wp14:editId="7C975BC7">
            <wp:extent cx="5943600" cy="4370705"/>
            <wp:effectExtent l="0" t="0" r="0" b="10795"/>
            <wp:docPr id="2055042835" name="Chart 1">
              <a:extLst xmlns:a="http://schemas.openxmlformats.org/drawingml/2006/main">
                <a:ext uri="{FF2B5EF4-FFF2-40B4-BE49-F238E27FC236}">
                  <a16:creationId xmlns:a16="http://schemas.microsoft.com/office/drawing/2014/main" id="{6DA8ADF0-F2FB-4BBA-AC04-393CBB9E67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409EC0" w14:textId="06E09AB8" w:rsidR="001B451B" w:rsidRDefault="00C91E60" w:rsidP="001351F2">
      <w:pPr>
        <w:rPr>
          <w:rFonts w:ascii="Arial" w:hAnsi="Arial" w:cs="Arial"/>
        </w:rPr>
      </w:pPr>
      <w:r>
        <w:rPr>
          <w:rFonts w:ascii="Arial" w:hAnsi="Arial" w:cs="Arial"/>
        </w:rPr>
        <w:t>Where</w:t>
      </w:r>
      <w:r w:rsidR="005333FE">
        <w:rPr>
          <w:rFonts w:ascii="Arial" w:hAnsi="Arial" w:cs="Arial"/>
        </w:rPr>
        <w:t xml:space="preserve"> the NRUF forecast curve crosses the black pool line</w:t>
      </w:r>
      <w:r w:rsidR="008B264D">
        <w:rPr>
          <w:rFonts w:ascii="Arial" w:hAnsi="Arial" w:cs="Arial"/>
        </w:rPr>
        <w:t xml:space="preserve"> </w:t>
      </w:r>
      <w:r w:rsidR="008465C8">
        <w:rPr>
          <w:rFonts w:ascii="Arial" w:hAnsi="Arial" w:cs="Arial"/>
        </w:rPr>
        <w:t>indicates</w:t>
      </w:r>
      <w:r w:rsidR="008465C8">
        <w:rPr>
          <w:rFonts w:ascii="Arial" w:hAnsi="Arial" w:cs="Arial"/>
        </w:rPr>
        <w:t xml:space="preserve"> </w:t>
      </w:r>
      <w:r w:rsidR="004461C4">
        <w:rPr>
          <w:rFonts w:ascii="Arial" w:hAnsi="Arial" w:cs="Arial"/>
        </w:rPr>
        <w:t xml:space="preserve">when the last </w:t>
      </w:r>
      <w:r w:rsidR="00DD27C4">
        <w:rPr>
          <w:rFonts w:ascii="Arial" w:hAnsi="Arial" w:cs="Arial"/>
        </w:rPr>
        <w:t xml:space="preserve">of the </w:t>
      </w:r>
      <w:r w:rsidR="00832915">
        <w:rPr>
          <w:rFonts w:ascii="Arial" w:hAnsi="Arial" w:cs="Arial"/>
        </w:rPr>
        <w:t xml:space="preserve">6YY </w:t>
      </w:r>
      <w:r w:rsidR="00832915">
        <w:rPr>
          <w:rFonts w:ascii="Arial" w:hAnsi="Arial" w:cs="Arial"/>
        </w:rPr>
        <w:t>NPA</w:t>
      </w:r>
      <w:r w:rsidR="00DD27C4">
        <w:rPr>
          <w:rFonts w:ascii="Arial" w:hAnsi="Arial" w:cs="Arial"/>
        </w:rPr>
        <w:t>s</w:t>
      </w:r>
      <w:r w:rsidR="00832915">
        <w:rPr>
          <w:rFonts w:ascii="Arial" w:hAnsi="Arial" w:cs="Arial"/>
        </w:rPr>
        <w:t xml:space="preserve"> is </w:t>
      </w:r>
      <w:r w:rsidR="00FC3501">
        <w:rPr>
          <w:rFonts w:ascii="Arial" w:hAnsi="Arial" w:cs="Arial"/>
        </w:rPr>
        <w:t>opened for assignment</w:t>
      </w:r>
      <w:r w:rsidR="00832915">
        <w:rPr>
          <w:rFonts w:ascii="Arial" w:hAnsi="Arial" w:cs="Arial"/>
        </w:rPr>
        <w:t>.</w:t>
      </w:r>
    </w:p>
    <w:p w14:paraId="62172E93" w14:textId="77777777" w:rsidR="001E111B" w:rsidRPr="00A07CCD" w:rsidRDefault="001E111B" w:rsidP="001351F2">
      <w:pPr>
        <w:rPr>
          <w:rFonts w:ascii="Arial" w:hAnsi="Arial" w:cs="Arial"/>
          <w:b/>
        </w:rPr>
      </w:pPr>
    </w:p>
    <w:p w14:paraId="2E629CF0" w14:textId="77777777" w:rsidR="00DD0BCC" w:rsidRPr="00AE43E5" w:rsidRDefault="00DD0BCC" w:rsidP="001351F2">
      <w:pPr>
        <w:pStyle w:val="Heading1"/>
        <w:numPr>
          <w:ilvl w:val="0"/>
          <w:numId w:val="44"/>
        </w:numPr>
        <w:rPr>
          <w:rFonts w:ascii="Arial" w:hAnsi="Arial"/>
          <w:sz w:val="24"/>
          <w:szCs w:val="24"/>
        </w:rPr>
      </w:pPr>
      <w:bookmarkStart w:id="35" w:name="_Toc156387038"/>
      <w:bookmarkStart w:id="36" w:name="_Toc162946394"/>
      <w:r>
        <w:rPr>
          <w:rFonts w:ascii="Arial" w:hAnsi="Arial"/>
          <w:sz w:val="24"/>
          <w:szCs w:val="24"/>
        </w:rPr>
        <w:t xml:space="preserve">Potential </w:t>
      </w:r>
      <w:r w:rsidR="00E03937">
        <w:rPr>
          <w:rFonts w:ascii="Arial" w:hAnsi="Arial"/>
          <w:sz w:val="24"/>
          <w:szCs w:val="24"/>
        </w:rPr>
        <w:t xml:space="preserve">6YY Exhaust </w:t>
      </w:r>
      <w:r w:rsidR="00FE7EEE">
        <w:rPr>
          <w:rFonts w:ascii="Arial" w:hAnsi="Arial"/>
          <w:sz w:val="24"/>
          <w:szCs w:val="24"/>
        </w:rPr>
        <w:t>Deferral</w:t>
      </w:r>
      <w:r w:rsidR="00E03937">
        <w:rPr>
          <w:rFonts w:ascii="Arial" w:hAnsi="Arial"/>
          <w:sz w:val="24"/>
          <w:szCs w:val="24"/>
        </w:rPr>
        <w:t xml:space="preserve"> </w:t>
      </w:r>
      <w:r w:rsidR="00C85488">
        <w:rPr>
          <w:rFonts w:ascii="Arial" w:hAnsi="Arial"/>
          <w:sz w:val="24"/>
          <w:szCs w:val="24"/>
        </w:rPr>
        <w:t>Methods</w:t>
      </w:r>
      <w:bookmarkEnd w:id="35"/>
      <w:bookmarkEnd w:id="36"/>
    </w:p>
    <w:p w14:paraId="182B6D5F" w14:textId="77777777" w:rsidR="00186754" w:rsidRDefault="00186754" w:rsidP="001351F2"/>
    <w:p w14:paraId="550F823E" w14:textId="5091F107" w:rsidR="006C1D0A" w:rsidRDefault="00944EB0" w:rsidP="001351F2">
      <w:pPr>
        <w:rPr>
          <w:rFonts w:ascii="Arial" w:hAnsi="Arial" w:cs="Arial"/>
        </w:rPr>
      </w:pPr>
      <w:r w:rsidRPr="00B33BD9">
        <w:rPr>
          <w:rFonts w:ascii="Arial" w:hAnsi="Arial" w:cs="Arial"/>
        </w:rPr>
        <w:t xml:space="preserve">The CSCN has analyzed </w:t>
      </w:r>
      <w:r w:rsidR="002079BA">
        <w:rPr>
          <w:rFonts w:ascii="Arial" w:hAnsi="Arial" w:cs="Arial"/>
        </w:rPr>
        <w:t xml:space="preserve">seven </w:t>
      </w:r>
      <w:r w:rsidRPr="00B33BD9">
        <w:rPr>
          <w:rFonts w:ascii="Arial" w:hAnsi="Arial" w:cs="Arial"/>
        </w:rPr>
        <w:t xml:space="preserve">methods </w:t>
      </w:r>
      <w:r>
        <w:rPr>
          <w:rFonts w:ascii="Arial" w:hAnsi="Arial" w:cs="Arial"/>
        </w:rPr>
        <w:t xml:space="preserve">to </w:t>
      </w:r>
      <w:r w:rsidR="00EE62D7">
        <w:rPr>
          <w:rFonts w:ascii="Arial" w:hAnsi="Arial" w:cs="Arial"/>
        </w:rPr>
        <w:t>defer</w:t>
      </w:r>
      <w:r w:rsidR="007F702F">
        <w:rPr>
          <w:rFonts w:ascii="Arial" w:hAnsi="Arial" w:cs="Arial"/>
        </w:rPr>
        <w:t xml:space="preserve"> </w:t>
      </w:r>
      <w:r>
        <w:rPr>
          <w:rFonts w:ascii="Arial" w:hAnsi="Arial" w:cs="Arial"/>
        </w:rPr>
        <w:t>6YY exhaust</w:t>
      </w:r>
      <w:r w:rsidR="00303B3F">
        <w:rPr>
          <w:rFonts w:ascii="Arial" w:hAnsi="Arial" w:cs="Arial"/>
        </w:rPr>
        <w:t xml:space="preserve">.  </w:t>
      </w:r>
      <w:r w:rsidR="00CA0780" w:rsidRPr="00CA0780">
        <w:rPr>
          <w:rFonts w:ascii="Arial" w:hAnsi="Arial" w:cs="Arial"/>
        </w:rPr>
        <w:t xml:space="preserve">Due to complexities associated with already distributed SIM cards, contracts and network implementations, </w:t>
      </w:r>
      <w:r w:rsidR="00CA0780">
        <w:rPr>
          <w:rFonts w:ascii="Arial" w:hAnsi="Arial" w:cs="Arial"/>
        </w:rPr>
        <w:t>any</w:t>
      </w:r>
      <w:r w:rsidR="00CA0780">
        <w:rPr>
          <w:rFonts w:ascii="Arial" w:hAnsi="Arial" w:cs="Arial"/>
        </w:rPr>
        <w:t xml:space="preserve"> </w:t>
      </w:r>
      <w:r w:rsidR="007A2CD5">
        <w:rPr>
          <w:rFonts w:ascii="Arial" w:hAnsi="Arial" w:cs="Arial"/>
        </w:rPr>
        <w:t xml:space="preserve">methods adopted should be </w:t>
      </w:r>
      <w:r w:rsidR="007A2CD5" w:rsidRPr="00BF1E8A">
        <w:rPr>
          <w:rFonts w:ascii="Arial" w:eastAsia="Calibri" w:hAnsi="Arial" w:cs="Arial"/>
        </w:rPr>
        <w:t>prospective (i.e.</w:t>
      </w:r>
      <w:r w:rsidR="00D033C6">
        <w:rPr>
          <w:rFonts w:ascii="Arial" w:eastAsia="Calibri" w:hAnsi="Arial" w:cs="Arial"/>
        </w:rPr>
        <w:t>,</w:t>
      </w:r>
      <w:r w:rsidR="007A2CD5" w:rsidRPr="00BF1E8A">
        <w:rPr>
          <w:rFonts w:ascii="Arial" w:eastAsia="Calibri" w:hAnsi="Arial" w:cs="Arial"/>
        </w:rPr>
        <w:t xml:space="preserve"> going forward)</w:t>
      </w:r>
      <w:r w:rsidR="007A2CD5">
        <w:rPr>
          <w:rFonts w:ascii="Arial" w:eastAsia="Calibri" w:hAnsi="Arial" w:cs="Arial"/>
        </w:rPr>
        <w:t xml:space="preserve">. These methods </w:t>
      </w:r>
      <w:r w:rsidR="00303B3F">
        <w:rPr>
          <w:rFonts w:ascii="Arial" w:hAnsi="Arial" w:cs="Arial"/>
        </w:rPr>
        <w:t xml:space="preserve">may </w:t>
      </w:r>
      <w:r w:rsidR="00D033C6">
        <w:rPr>
          <w:rFonts w:ascii="Arial" w:hAnsi="Arial" w:cs="Arial"/>
        </w:rPr>
        <w:t xml:space="preserve">defer 6YY exhaust by expanding the number of 6YY </w:t>
      </w:r>
      <w:r w:rsidR="006D7ACE">
        <w:rPr>
          <w:rFonts w:ascii="Arial" w:hAnsi="Arial" w:cs="Arial"/>
        </w:rPr>
        <w:t>NPAs</w:t>
      </w:r>
      <w:r w:rsidR="00D033C6">
        <w:rPr>
          <w:rFonts w:ascii="Arial" w:hAnsi="Arial" w:cs="Arial"/>
        </w:rPr>
        <w:t xml:space="preserve">, by using 6YY codes more efficiently or by using an addressing scheme that does not use TNs (i.e., </w:t>
      </w:r>
      <w:r w:rsidR="00576391">
        <w:rPr>
          <w:rFonts w:ascii="Arial" w:hAnsi="Arial" w:cs="Arial"/>
        </w:rPr>
        <w:t>a</w:t>
      </w:r>
      <w:r w:rsidR="00576391" w:rsidRPr="00576391">
        <w:rPr>
          <w:rFonts w:ascii="Arial" w:hAnsi="Arial" w:cs="Arial"/>
        </w:rPr>
        <w:t>lternative numbering scheme</w:t>
      </w:r>
      <w:r w:rsidR="00D033C6">
        <w:rPr>
          <w:rFonts w:ascii="Arial" w:hAnsi="Arial" w:cs="Arial"/>
        </w:rPr>
        <w:t xml:space="preserve">).  </w:t>
      </w:r>
      <w:r w:rsidR="006C1D0A">
        <w:rPr>
          <w:rFonts w:ascii="Arial" w:hAnsi="Arial" w:cs="Arial"/>
        </w:rPr>
        <w:t>More than one method may be chosen.</w:t>
      </w:r>
    </w:p>
    <w:p w14:paraId="4F046F39" w14:textId="77777777" w:rsidR="00186754" w:rsidRDefault="006C1D0A" w:rsidP="001351F2">
      <w:pPr>
        <w:rPr>
          <w:rFonts w:ascii="Arial" w:hAnsi="Arial" w:cs="Arial"/>
        </w:rPr>
      </w:pPr>
      <w:r>
        <w:rPr>
          <w:rFonts w:ascii="Arial" w:hAnsi="Arial" w:cs="Arial"/>
        </w:rPr>
        <w:t xml:space="preserve">The methods are listed in </w:t>
      </w:r>
      <w:r w:rsidRPr="00FC3501">
        <w:rPr>
          <w:rFonts w:ascii="Arial" w:hAnsi="Arial" w:cs="Arial"/>
        </w:rPr>
        <w:t xml:space="preserve">Figure </w:t>
      </w:r>
      <w:r w:rsidR="00D72558" w:rsidRPr="00FC3501">
        <w:rPr>
          <w:rFonts w:ascii="Arial" w:hAnsi="Arial" w:cs="Arial"/>
        </w:rPr>
        <w:t>4</w:t>
      </w:r>
      <w:r w:rsidR="00D72558">
        <w:rPr>
          <w:rFonts w:ascii="Arial" w:hAnsi="Arial" w:cs="Arial"/>
        </w:rPr>
        <w:t xml:space="preserve"> </w:t>
      </w:r>
      <w:r>
        <w:rPr>
          <w:rFonts w:ascii="Arial" w:hAnsi="Arial" w:cs="Arial"/>
        </w:rPr>
        <w:t>and discussed below.</w:t>
      </w:r>
    </w:p>
    <w:p w14:paraId="782BAA5B" w14:textId="76DE1AE3" w:rsidR="00BE490E" w:rsidRPr="00F00180" w:rsidRDefault="00BE490E" w:rsidP="00B86D26">
      <w:pPr>
        <w:rPr>
          <w:sz w:val="24"/>
        </w:rPr>
      </w:pPr>
      <w:bookmarkStart w:id="37" w:name="_Toc156385633"/>
      <w:bookmarkStart w:id="38" w:name="_Toc162946419"/>
      <w:r w:rsidRPr="00F00180">
        <w:rPr>
          <w:b/>
          <w:sz w:val="24"/>
        </w:rPr>
        <w:t xml:space="preserve">Figure </w:t>
      </w:r>
      <w:r w:rsidR="00262139" w:rsidRPr="00F00180">
        <w:rPr>
          <w:b/>
          <w:sz w:val="24"/>
        </w:rPr>
        <w:fldChar w:fldCharType="begin"/>
      </w:r>
      <w:r w:rsidR="00262139" w:rsidRPr="00F00180">
        <w:rPr>
          <w:b/>
          <w:sz w:val="24"/>
        </w:rPr>
        <w:instrText xml:space="preserve"> SEQ Figure \* ARABIC </w:instrText>
      </w:r>
      <w:r w:rsidR="00262139" w:rsidRPr="00F00180">
        <w:rPr>
          <w:b/>
          <w:sz w:val="24"/>
        </w:rPr>
        <w:fldChar w:fldCharType="separate"/>
      </w:r>
      <w:r w:rsidR="00924761" w:rsidRPr="00F00180">
        <w:rPr>
          <w:b/>
          <w:sz w:val="24"/>
        </w:rPr>
        <w:t>4</w:t>
      </w:r>
      <w:r w:rsidR="00262139" w:rsidRPr="00F00180">
        <w:rPr>
          <w:b/>
          <w:sz w:val="24"/>
        </w:rPr>
        <w:fldChar w:fldCharType="end"/>
      </w:r>
      <w:r w:rsidRPr="00F00180">
        <w:rPr>
          <w:sz w:val="24"/>
        </w:rPr>
        <w:t xml:space="preserve">: Mitigation methods for 6YY </w:t>
      </w:r>
      <w:proofErr w:type="gramStart"/>
      <w:r w:rsidRPr="00F00180">
        <w:rPr>
          <w:sz w:val="24"/>
        </w:rPr>
        <w:t>NPAs</w:t>
      </w:r>
      <w:bookmarkEnd w:id="37"/>
      <w:bookmarkEnd w:id="38"/>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7"/>
        <w:gridCol w:w="1432"/>
        <w:gridCol w:w="6411"/>
      </w:tblGrid>
      <w:tr w:rsidR="000768E1" w:rsidRPr="00FB777C" w14:paraId="78573ED4" w14:textId="77777777" w:rsidTr="00FB777C">
        <w:tc>
          <w:tcPr>
            <w:tcW w:w="1517" w:type="dxa"/>
          </w:tcPr>
          <w:p w14:paraId="3E335E4B" w14:textId="77777777" w:rsidR="000768E1" w:rsidRPr="00FB777C" w:rsidRDefault="000768E1" w:rsidP="001351F2">
            <w:pPr>
              <w:spacing w:after="120"/>
              <w:ind w:left="567"/>
              <w:rPr>
                <w:rFonts w:ascii="Arial" w:hAnsi="Arial" w:cs="Arial"/>
                <w:u w:val="single"/>
              </w:rPr>
            </w:pPr>
            <w:r w:rsidRPr="00FB777C">
              <w:rPr>
                <w:rFonts w:ascii="Arial" w:hAnsi="Arial" w:cs="Arial"/>
                <w:u w:val="single"/>
              </w:rPr>
              <w:t>Section</w:t>
            </w:r>
          </w:p>
        </w:tc>
        <w:tc>
          <w:tcPr>
            <w:tcW w:w="1432" w:type="dxa"/>
          </w:tcPr>
          <w:p w14:paraId="53B53930" w14:textId="77777777" w:rsidR="000768E1" w:rsidRPr="00FB777C" w:rsidRDefault="000768E1" w:rsidP="001351F2">
            <w:pPr>
              <w:spacing w:after="120"/>
              <w:ind w:left="567"/>
              <w:rPr>
                <w:rFonts w:ascii="Arial" w:hAnsi="Arial" w:cs="Arial"/>
                <w:u w:val="single"/>
              </w:rPr>
            </w:pPr>
            <w:r w:rsidRPr="00FB777C">
              <w:rPr>
                <w:rFonts w:ascii="Arial" w:hAnsi="Arial" w:cs="Arial"/>
                <w:u w:val="single"/>
              </w:rPr>
              <w:t xml:space="preserve">Option </w:t>
            </w:r>
          </w:p>
        </w:tc>
        <w:tc>
          <w:tcPr>
            <w:tcW w:w="6411" w:type="dxa"/>
          </w:tcPr>
          <w:p w14:paraId="6A5FCD63" w14:textId="77777777" w:rsidR="000768E1" w:rsidRPr="00FB777C" w:rsidRDefault="000768E1" w:rsidP="001351F2">
            <w:pPr>
              <w:spacing w:after="120"/>
              <w:ind w:left="567"/>
              <w:rPr>
                <w:rFonts w:ascii="Arial" w:hAnsi="Arial" w:cs="Arial"/>
                <w:u w:val="single"/>
              </w:rPr>
            </w:pPr>
            <w:r w:rsidRPr="00FB777C">
              <w:rPr>
                <w:rFonts w:ascii="Arial" w:hAnsi="Arial" w:cs="Arial"/>
                <w:u w:val="single"/>
              </w:rPr>
              <w:t>Method</w:t>
            </w:r>
          </w:p>
        </w:tc>
      </w:tr>
      <w:tr w:rsidR="000768E1" w:rsidRPr="00FB777C" w14:paraId="5E5ED75C" w14:textId="77777777" w:rsidTr="00FB777C">
        <w:tc>
          <w:tcPr>
            <w:tcW w:w="1517" w:type="dxa"/>
          </w:tcPr>
          <w:p w14:paraId="4612527C" w14:textId="77777777" w:rsidR="000768E1" w:rsidRPr="00FB777C" w:rsidRDefault="00FB23F8" w:rsidP="001351F2">
            <w:pPr>
              <w:spacing w:after="120"/>
              <w:ind w:left="567"/>
              <w:rPr>
                <w:rFonts w:ascii="Arial" w:hAnsi="Arial" w:cs="Arial"/>
              </w:rPr>
            </w:pPr>
            <w:r>
              <w:rPr>
                <w:rFonts w:ascii="Arial" w:hAnsi="Arial" w:cs="Arial"/>
              </w:rPr>
              <w:lastRenderedPageBreak/>
              <w:t>3</w:t>
            </w:r>
            <w:r w:rsidR="000768E1" w:rsidRPr="00FB777C">
              <w:rPr>
                <w:rFonts w:ascii="Arial" w:hAnsi="Arial" w:cs="Arial"/>
              </w:rPr>
              <w:t>.1</w:t>
            </w:r>
          </w:p>
        </w:tc>
        <w:tc>
          <w:tcPr>
            <w:tcW w:w="1432" w:type="dxa"/>
          </w:tcPr>
          <w:p w14:paraId="47F34879" w14:textId="77777777" w:rsidR="000768E1" w:rsidRPr="00FB777C" w:rsidRDefault="000768E1" w:rsidP="001351F2">
            <w:pPr>
              <w:spacing w:after="120"/>
              <w:ind w:left="567"/>
              <w:rPr>
                <w:rFonts w:ascii="Arial" w:hAnsi="Arial" w:cs="Arial"/>
              </w:rPr>
            </w:pPr>
            <w:r w:rsidRPr="00FB777C">
              <w:rPr>
                <w:rFonts w:ascii="Arial" w:hAnsi="Arial" w:cs="Arial"/>
              </w:rPr>
              <w:t>1</w:t>
            </w:r>
          </w:p>
        </w:tc>
        <w:tc>
          <w:tcPr>
            <w:tcW w:w="6411" w:type="dxa"/>
          </w:tcPr>
          <w:p w14:paraId="5B30133C" w14:textId="77777777" w:rsidR="000768E1" w:rsidRPr="00FB777C" w:rsidRDefault="000768E1" w:rsidP="001351F2">
            <w:pPr>
              <w:spacing w:after="120"/>
              <w:ind w:left="567"/>
              <w:rPr>
                <w:rFonts w:ascii="Arial" w:hAnsi="Arial" w:cs="Arial"/>
              </w:rPr>
            </w:pPr>
            <w:r w:rsidRPr="00FB777C">
              <w:rPr>
                <w:rFonts w:ascii="Arial" w:hAnsi="Arial"/>
              </w:rPr>
              <w:t>Obtain Additional Non-Geographic NPAs</w:t>
            </w:r>
          </w:p>
        </w:tc>
      </w:tr>
      <w:tr w:rsidR="000768E1" w:rsidRPr="00FB777C" w14:paraId="439A067C" w14:textId="77777777" w:rsidTr="00FB777C">
        <w:tc>
          <w:tcPr>
            <w:tcW w:w="1517" w:type="dxa"/>
          </w:tcPr>
          <w:p w14:paraId="7778DA35" w14:textId="77777777" w:rsidR="000768E1" w:rsidRPr="00FB777C" w:rsidRDefault="00FB23F8" w:rsidP="001351F2">
            <w:pPr>
              <w:spacing w:after="120"/>
              <w:ind w:left="567"/>
              <w:rPr>
                <w:rFonts w:ascii="Arial" w:hAnsi="Arial" w:cs="Arial"/>
              </w:rPr>
            </w:pPr>
            <w:r>
              <w:rPr>
                <w:rFonts w:ascii="Arial" w:hAnsi="Arial" w:cs="Arial"/>
              </w:rPr>
              <w:t>3</w:t>
            </w:r>
            <w:r w:rsidR="000768E1" w:rsidRPr="00FB777C">
              <w:rPr>
                <w:rFonts w:ascii="Arial" w:hAnsi="Arial" w:cs="Arial"/>
              </w:rPr>
              <w:t>.2</w:t>
            </w:r>
          </w:p>
        </w:tc>
        <w:tc>
          <w:tcPr>
            <w:tcW w:w="1432" w:type="dxa"/>
          </w:tcPr>
          <w:p w14:paraId="725811C5" w14:textId="77777777" w:rsidR="000768E1" w:rsidRPr="00FB777C" w:rsidRDefault="000768E1" w:rsidP="001351F2">
            <w:pPr>
              <w:spacing w:after="120"/>
              <w:ind w:left="567"/>
              <w:rPr>
                <w:rFonts w:ascii="Arial" w:hAnsi="Arial" w:cs="Arial"/>
              </w:rPr>
            </w:pPr>
            <w:r w:rsidRPr="00FB777C">
              <w:rPr>
                <w:rFonts w:ascii="Arial" w:hAnsi="Arial" w:cs="Arial"/>
              </w:rPr>
              <w:t>2</w:t>
            </w:r>
          </w:p>
        </w:tc>
        <w:tc>
          <w:tcPr>
            <w:tcW w:w="6411" w:type="dxa"/>
          </w:tcPr>
          <w:p w14:paraId="37AEAFC6" w14:textId="72FA6312" w:rsidR="000768E1" w:rsidRPr="00FB777C" w:rsidRDefault="000768E1" w:rsidP="001351F2">
            <w:pPr>
              <w:spacing w:after="120"/>
              <w:ind w:left="567"/>
              <w:rPr>
                <w:rFonts w:ascii="Arial" w:hAnsi="Arial" w:cs="Arial"/>
              </w:rPr>
            </w:pPr>
            <w:r w:rsidRPr="00FB777C">
              <w:rPr>
                <w:rFonts w:ascii="Arial" w:hAnsi="Arial" w:cs="Arial"/>
              </w:rPr>
              <w:t xml:space="preserve">Utilize </w:t>
            </w:r>
            <w:r w:rsidRPr="00FB777C">
              <w:rPr>
                <w:rFonts w:ascii="Arial" w:hAnsi="Arial" w:cs="Arial"/>
              </w:rPr>
              <w:t>NPA</w:t>
            </w:r>
            <w:r w:rsidR="00730FDC">
              <w:rPr>
                <w:rFonts w:ascii="Arial" w:hAnsi="Arial" w:cs="Arial"/>
              </w:rPr>
              <w:t xml:space="preserve"> </w:t>
            </w:r>
            <w:r w:rsidR="00730FDC">
              <w:rPr>
                <w:rFonts w:ascii="Arial" w:hAnsi="Arial" w:cs="Arial"/>
              </w:rPr>
              <w:t>010</w:t>
            </w:r>
            <w:r w:rsidRPr="00FB777C">
              <w:rPr>
                <w:rFonts w:ascii="Arial" w:hAnsi="Arial" w:cs="Arial"/>
              </w:rPr>
              <w:t xml:space="preserve"> </w:t>
            </w:r>
          </w:p>
        </w:tc>
      </w:tr>
      <w:tr w:rsidR="000768E1" w:rsidRPr="00FB777C" w14:paraId="72EC847E" w14:textId="77777777" w:rsidTr="00FB777C">
        <w:tc>
          <w:tcPr>
            <w:tcW w:w="1517" w:type="dxa"/>
          </w:tcPr>
          <w:p w14:paraId="06F7AECC" w14:textId="77777777" w:rsidR="000768E1" w:rsidRPr="00FB777C" w:rsidRDefault="00FB23F8" w:rsidP="001351F2">
            <w:pPr>
              <w:spacing w:after="120"/>
              <w:ind w:left="567"/>
              <w:rPr>
                <w:rFonts w:ascii="Arial" w:hAnsi="Arial" w:cs="Arial"/>
              </w:rPr>
            </w:pPr>
            <w:r>
              <w:rPr>
                <w:rFonts w:ascii="Arial" w:hAnsi="Arial" w:cs="Arial"/>
              </w:rPr>
              <w:t>3</w:t>
            </w:r>
            <w:r w:rsidR="000768E1" w:rsidRPr="00FB777C">
              <w:rPr>
                <w:rFonts w:ascii="Arial" w:hAnsi="Arial" w:cs="Arial"/>
              </w:rPr>
              <w:t>.3</w:t>
            </w:r>
          </w:p>
        </w:tc>
        <w:tc>
          <w:tcPr>
            <w:tcW w:w="1432" w:type="dxa"/>
          </w:tcPr>
          <w:p w14:paraId="66F9833A" w14:textId="77777777" w:rsidR="000768E1" w:rsidRPr="00FB777C" w:rsidRDefault="000768E1" w:rsidP="001351F2">
            <w:pPr>
              <w:spacing w:after="120"/>
              <w:ind w:left="567"/>
              <w:rPr>
                <w:rFonts w:ascii="Arial" w:hAnsi="Arial" w:cs="Arial"/>
              </w:rPr>
            </w:pPr>
            <w:r w:rsidRPr="00FB777C">
              <w:rPr>
                <w:rFonts w:ascii="Arial" w:hAnsi="Arial" w:cs="Arial"/>
              </w:rPr>
              <w:t>3</w:t>
            </w:r>
          </w:p>
        </w:tc>
        <w:tc>
          <w:tcPr>
            <w:tcW w:w="6411" w:type="dxa"/>
          </w:tcPr>
          <w:p w14:paraId="0D2C2DFA" w14:textId="77777777" w:rsidR="000768E1" w:rsidRPr="00FB777C" w:rsidRDefault="006D54AD" w:rsidP="001351F2">
            <w:pPr>
              <w:spacing w:after="120"/>
              <w:ind w:left="567"/>
              <w:rPr>
                <w:rFonts w:ascii="Arial" w:hAnsi="Arial" w:cs="Arial"/>
              </w:rPr>
            </w:pPr>
            <w:r w:rsidRPr="00FB777C">
              <w:rPr>
                <w:rFonts w:ascii="Arial" w:hAnsi="Arial" w:cs="Arial"/>
              </w:rPr>
              <w:t>Alternative numbering scheme</w:t>
            </w:r>
            <w:r w:rsidRPr="00FB777C" w:rsidDel="006D54AD">
              <w:rPr>
                <w:rFonts w:ascii="Arial" w:hAnsi="Arial" w:cs="Arial"/>
              </w:rPr>
              <w:t xml:space="preserve"> </w:t>
            </w:r>
          </w:p>
        </w:tc>
      </w:tr>
      <w:tr w:rsidR="000768E1" w:rsidRPr="00FB777C" w14:paraId="125C3D4E" w14:textId="77777777" w:rsidTr="00FB777C">
        <w:tc>
          <w:tcPr>
            <w:tcW w:w="1517" w:type="dxa"/>
          </w:tcPr>
          <w:p w14:paraId="76A3CA36" w14:textId="77777777" w:rsidR="000768E1" w:rsidRPr="00FB777C" w:rsidRDefault="00FB23F8" w:rsidP="001351F2">
            <w:pPr>
              <w:spacing w:after="120"/>
              <w:ind w:left="567"/>
              <w:rPr>
                <w:rFonts w:ascii="Arial" w:hAnsi="Arial" w:cs="Arial"/>
              </w:rPr>
            </w:pPr>
            <w:r>
              <w:rPr>
                <w:rFonts w:ascii="Arial" w:hAnsi="Arial" w:cs="Arial"/>
              </w:rPr>
              <w:t>3</w:t>
            </w:r>
            <w:r w:rsidR="000768E1" w:rsidRPr="00FB777C">
              <w:rPr>
                <w:rFonts w:ascii="Arial" w:hAnsi="Arial" w:cs="Arial"/>
              </w:rPr>
              <w:t>.4</w:t>
            </w:r>
          </w:p>
        </w:tc>
        <w:tc>
          <w:tcPr>
            <w:tcW w:w="1432" w:type="dxa"/>
          </w:tcPr>
          <w:p w14:paraId="04915DF3" w14:textId="77777777" w:rsidR="000768E1" w:rsidRPr="00FB777C" w:rsidRDefault="000768E1" w:rsidP="001351F2">
            <w:pPr>
              <w:spacing w:after="120"/>
              <w:ind w:left="567"/>
              <w:rPr>
                <w:rFonts w:ascii="Arial" w:hAnsi="Arial" w:cs="Arial"/>
              </w:rPr>
            </w:pPr>
            <w:r w:rsidRPr="00FB777C">
              <w:rPr>
                <w:rFonts w:ascii="Arial" w:hAnsi="Arial" w:cs="Arial"/>
              </w:rPr>
              <w:t>4</w:t>
            </w:r>
          </w:p>
        </w:tc>
        <w:tc>
          <w:tcPr>
            <w:tcW w:w="6411" w:type="dxa"/>
          </w:tcPr>
          <w:p w14:paraId="57CDEF25" w14:textId="77777777" w:rsidR="000768E1" w:rsidRPr="00FB777C" w:rsidRDefault="000768E1" w:rsidP="001351F2">
            <w:pPr>
              <w:spacing w:after="120"/>
              <w:ind w:left="567"/>
              <w:rPr>
                <w:rFonts w:ascii="Arial" w:hAnsi="Arial" w:cs="Arial"/>
              </w:rPr>
            </w:pPr>
            <w:r w:rsidRPr="00FB777C">
              <w:rPr>
                <w:rFonts w:ascii="Arial" w:hAnsi="Arial" w:cs="Arial"/>
              </w:rPr>
              <w:t>Partition NPA 600</w:t>
            </w:r>
          </w:p>
        </w:tc>
      </w:tr>
      <w:tr w:rsidR="000768E1" w:rsidRPr="00FB777C" w14:paraId="615B9733" w14:textId="77777777" w:rsidTr="00FB777C">
        <w:tc>
          <w:tcPr>
            <w:tcW w:w="1517" w:type="dxa"/>
          </w:tcPr>
          <w:p w14:paraId="77A88B29" w14:textId="77777777" w:rsidR="000768E1" w:rsidRPr="00FB777C" w:rsidRDefault="00FB23F8" w:rsidP="001351F2">
            <w:pPr>
              <w:spacing w:after="120"/>
              <w:ind w:left="567"/>
              <w:rPr>
                <w:rFonts w:ascii="Arial" w:hAnsi="Arial" w:cs="Arial"/>
              </w:rPr>
            </w:pPr>
            <w:r>
              <w:rPr>
                <w:rFonts w:ascii="Arial" w:hAnsi="Arial" w:cs="Arial"/>
              </w:rPr>
              <w:t>3</w:t>
            </w:r>
            <w:r w:rsidR="000768E1" w:rsidRPr="00FB777C">
              <w:rPr>
                <w:rFonts w:ascii="Arial" w:hAnsi="Arial" w:cs="Arial"/>
              </w:rPr>
              <w:t>.5</w:t>
            </w:r>
          </w:p>
        </w:tc>
        <w:tc>
          <w:tcPr>
            <w:tcW w:w="1432" w:type="dxa"/>
          </w:tcPr>
          <w:p w14:paraId="17EF9C15" w14:textId="77777777" w:rsidR="000768E1" w:rsidRPr="00FB777C" w:rsidRDefault="000768E1" w:rsidP="001351F2">
            <w:pPr>
              <w:spacing w:after="120"/>
              <w:ind w:left="567"/>
              <w:rPr>
                <w:rFonts w:ascii="Arial" w:hAnsi="Arial" w:cs="Arial"/>
              </w:rPr>
            </w:pPr>
            <w:r w:rsidRPr="00FB777C">
              <w:rPr>
                <w:rFonts w:ascii="Arial" w:hAnsi="Arial" w:cs="Arial"/>
              </w:rPr>
              <w:t>5</w:t>
            </w:r>
          </w:p>
        </w:tc>
        <w:tc>
          <w:tcPr>
            <w:tcW w:w="6411" w:type="dxa"/>
          </w:tcPr>
          <w:p w14:paraId="5E439297" w14:textId="760D1D84" w:rsidR="000768E1" w:rsidRPr="00FB777C" w:rsidRDefault="000768E1" w:rsidP="001351F2">
            <w:pPr>
              <w:spacing w:after="120"/>
              <w:ind w:left="567"/>
              <w:rPr>
                <w:rFonts w:ascii="Arial" w:hAnsi="Arial" w:cs="Arial"/>
              </w:rPr>
            </w:pPr>
            <w:r w:rsidRPr="00FB777C">
              <w:rPr>
                <w:rFonts w:ascii="Arial" w:hAnsi="Arial" w:cs="Arial"/>
              </w:rPr>
              <w:t xml:space="preserve">Remove N11 and 555 </w:t>
            </w:r>
            <w:r w:rsidR="00730FDC">
              <w:rPr>
                <w:rFonts w:ascii="Arial" w:hAnsi="Arial" w:cs="Arial"/>
              </w:rPr>
              <w:t xml:space="preserve">NXX </w:t>
            </w:r>
            <w:r w:rsidR="00B933CB" w:rsidRPr="00FB777C">
              <w:rPr>
                <w:rFonts w:ascii="Arial" w:hAnsi="Arial" w:cs="Arial"/>
              </w:rPr>
              <w:t>restrictions</w:t>
            </w:r>
            <w:r w:rsidRPr="00FB777C">
              <w:rPr>
                <w:rFonts w:ascii="Arial" w:hAnsi="Arial" w:cs="Arial"/>
              </w:rPr>
              <w:t xml:space="preserve"> in 6YY </w:t>
            </w:r>
            <w:r w:rsidR="00730FDC">
              <w:rPr>
                <w:rFonts w:ascii="Arial" w:hAnsi="Arial" w:cs="Arial"/>
              </w:rPr>
              <w:t>NPAs</w:t>
            </w:r>
          </w:p>
        </w:tc>
      </w:tr>
      <w:tr w:rsidR="000768E1" w:rsidRPr="00FB777C" w14:paraId="72DF0E28" w14:textId="77777777" w:rsidTr="00FB777C">
        <w:tc>
          <w:tcPr>
            <w:tcW w:w="1517" w:type="dxa"/>
          </w:tcPr>
          <w:p w14:paraId="11C47265" w14:textId="77777777" w:rsidR="000768E1" w:rsidRPr="00FB777C" w:rsidRDefault="00FB23F8" w:rsidP="001351F2">
            <w:pPr>
              <w:spacing w:after="120"/>
              <w:ind w:left="567"/>
              <w:rPr>
                <w:rFonts w:ascii="Arial" w:hAnsi="Arial" w:cs="Arial"/>
              </w:rPr>
            </w:pPr>
            <w:r>
              <w:rPr>
                <w:rFonts w:ascii="Arial" w:hAnsi="Arial" w:cs="Arial"/>
              </w:rPr>
              <w:t>3</w:t>
            </w:r>
            <w:r w:rsidR="000768E1" w:rsidRPr="00FB777C">
              <w:rPr>
                <w:rFonts w:ascii="Arial" w:hAnsi="Arial" w:cs="Arial"/>
              </w:rPr>
              <w:t>.6</w:t>
            </w:r>
          </w:p>
        </w:tc>
        <w:tc>
          <w:tcPr>
            <w:tcW w:w="1432" w:type="dxa"/>
          </w:tcPr>
          <w:p w14:paraId="386551A0" w14:textId="77777777" w:rsidR="000768E1" w:rsidRPr="00FB777C" w:rsidRDefault="000768E1" w:rsidP="001351F2">
            <w:pPr>
              <w:spacing w:after="120"/>
              <w:ind w:left="567"/>
              <w:rPr>
                <w:rFonts w:ascii="Arial" w:hAnsi="Arial" w:cs="Arial"/>
              </w:rPr>
            </w:pPr>
            <w:r w:rsidRPr="00FB777C">
              <w:rPr>
                <w:rFonts w:ascii="Arial" w:hAnsi="Arial" w:cs="Arial"/>
              </w:rPr>
              <w:t>6</w:t>
            </w:r>
          </w:p>
        </w:tc>
        <w:tc>
          <w:tcPr>
            <w:tcW w:w="6411" w:type="dxa"/>
          </w:tcPr>
          <w:p w14:paraId="21F9452A" w14:textId="77777777" w:rsidR="000768E1" w:rsidRPr="00FB777C" w:rsidRDefault="000768E1" w:rsidP="001351F2">
            <w:pPr>
              <w:spacing w:after="120"/>
              <w:ind w:left="567"/>
              <w:rPr>
                <w:rFonts w:ascii="Arial" w:hAnsi="Arial" w:cs="Arial"/>
              </w:rPr>
            </w:pPr>
            <w:r w:rsidRPr="00FB777C">
              <w:rPr>
                <w:rFonts w:ascii="Arial" w:hAnsi="Arial" w:cs="Arial"/>
              </w:rPr>
              <w:t>New IoT/M2M Network Addressing Standards</w:t>
            </w:r>
          </w:p>
        </w:tc>
      </w:tr>
      <w:tr w:rsidR="000768E1" w:rsidRPr="00FB777C" w14:paraId="005C6A33" w14:textId="77777777" w:rsidTr="00FB777C">
        <w:tc>
          <w:tcPr>
            <w:tcW w:w="1517" w:type="dxa"/>
          </w:tcPr>
          <w:p w14:paraId="722F13AF" w14:textId="77777777" w:rsidR="000768E1" w:rsidRPr="00FB777C" w:rsidRDefault="00FB23F8" w:rsidP="001351F2">
            <w:pPr>
              <w:spacing w:after="120"/>
              <w:ind w:left="567"/>
              <w:rPr>
                <w:rFonts w:ascii="Arial" w:hAnsi="Arial" w:cs="Arial"/>
              </w:rPr>
            </w:pPr>
            <w:r>
              <w:rPr>
                <w:rFonts w:ascii="Arial" w:hAnsi="Arial" w:cs="Arial"/>
              </w:rPr>
              <w:t>3</w:t>
            </w:r>
            <w:r w:rsidR="000768E1" w:rsidRPr="00FB777C">
              <w:rPr>
                <w:rFonts w:ascii="Arial" w:hAnsi="Arial" w:cs="Arial"/>
              </w:rPr>
              <w:t>.7</w:t>
            </w:r>
          </w:p>
        </w:tc>
        <w:tc>
          <w:tcPr>
            <w:tcW w:w="1432" w:type="dxa"/>
          </w:tcPr>
          <w:p w14:paraId="131303DB" w14:textId="77777777" w:rsidR="000768E1" w:rsidRPr="00FB777C" w:rsidRDefault="000768E1" w:rsidP="001351F2">
            <w:pPr>
              <w:spacing w:after="120"/>
              <w:ind w:left="567"/>
              <w:rPr>
                <w:rFonts w:ascii="Arial" w:hAnsi="Arial" w:cs="Arial"/>
              </w:rPr>
            </w:pPr>
            <w:r w:rsidRPr="00FB777C">
              <w:rPr>
                <w:rFonts w:ascii="Arial" w:hAnsi="Arial" w:cs="Arial"/>
              </w:rPr>
              <w:t>7</w:t>
            </w:r>
          </w:p>
        </w:tc>
        <w:tc>
          <w:tcPr>
            <w:tcW w:w="6411" w:type="dxa"/>
          </w:tcPr>
          <w:p w14:paraId="5B87B5F5" w14:textId="77777777" w:rsidR="000768E1" w:rsidRPr="00FB777C" w:rsidRDefault="000768E1" w:rsidP="001351F2">
            <w:pPr>
              <w:spacing w:after="120"/>
              <w:ind w:left="567"/>
              <w:rPr>
                <w:rFonts w:ascii="Arial" w:hAnsi="Arial" w:cs="Arial"/>
              </w:rPr>
            </w:pPr>
            <w:r w:rsidRPr="00FB777C">
              <w:rPr>
                <w:rFonts w:ascii="Arial" w:hAnsi="Arial"/>
              </w:rPr>
              <w:t xml:space="preserve">Extended 6YY </w:t>
            </w:r>
            <w:r w:rsidR="00017928" w:rsidRPr="00FB777C">
              <w:rPr>
                <w:rFonts w:ascii="Arial" w:hAnsi="Arial"/>
              </w:rPr>
              <w:t xml:space="preserve">NPA </w:t>
            </w:r>
            <w:r w:rsidR="00452AA8">
              <w:rPr>
                <w:rFonts w:ascii="Arial" w:hAnsi="Arial"/>
              </w:rPr>
              <w:t>(more than 1+10 digits)</w:t>
            </w:r>
          </w:p>
        </w:tc>
      </w:tr>
      <w:tr w:rsidR="000768E1" w:rsidRPr="00FB777C" w14:paraId="63FA5A22" w14:textId="77777777" w:rsidTr="00FB777C">
        <w:tc>
          <w:tcPr>
            <w:tcW w:w="1517" w:type="dxa"/>
          </w:tcPr>
          <w:p w14:paraId="7462D31B" w14:textId="77777777" w:rsidR="000768E1" w:rsidRPr="00FB777C" w:rsidRDefault="00FB23F8" w:rsidP="001351F2">
            <w:pPr>
              <w:spacing w:after="120"/>
              <w:ind w:left="567"/>
              <w:rPr>
                <w:rFonts w:ascii="Arial" w:hAnsi="Arial" w:cs="Arial"/>
              </w:rPr>
            </w:pPr>
            <w:r>
              <w:rPr>
                <w:rFonts w:ascii="Arial" w:hAnsi="Arial" w:cs="Arial"/>
              </w:rPr>
              <w:t>3</w:t>
            </w:r>
            <w:r w:rsidR="000768E1" w:rsidRPr="00FB777C">
              <w:rPr>
                <w:rFonts w:ascii="Arial" w:hAnsi="Arial" w:cs="Arial"/>
              </w:rPr>
              <w:t>.7.1</w:t>
            </w:r>
          </w:p>
        </w:tc>
        <w:tc>
          <w:tcPr>
            <w:tcW w:w="1432" w:type="dxa"/>
          </w:tcPr>
          <w:p w14:paraId="0E49B5F0" w14:textId="77777777" w:rsidR="000768E1" w:rsidRPr="00FB777C" w:rsidDel="000768E1" w:rsidRDefault="000768E1" w:rsidP="001351F2">
            <w:pPr>
              <w:spacing w:after="120"/>
              <w:ind w:left="567"/>
              <w:rPr>
                <w:rFonts w:ascii="Arial" w:hAnsi="Arial" w:cs="Arial"/>
              </w:rPr>
            </w:pPr>
            <w:r w:rsidRPr="00FB777C">
              <w:rPr>
                <w:rFonts w:ascii="Arial" w:hAnsi="Arial" w:cs="Arial"/>
              </w:rPr>
              <w:t>7A</w:t>
            </w:r>
          </w:p>
        </w:tc>
        <w:tc>
          <w:tcPr>
            <w:tcW w:w="6411" w:type="dxa"/>
          </w:tcPr>
          <w:p w14:paraId="3CD5751B" w14:textId="77777777" w:rsidR="000768E1" w:rsidRPr="00FB777C" w:rsidRDefault="000768E1" w:rsidP="001351F2">
            <w:pPr>
              <w:spacing w:after="120"/>
              <w:ind w:left="567"/>
              <w:rPr>
                <w:rFonts w:ascii="Arial" w:hAnsi="Arial"/>
              </w:rPr>
            </w:pPr>
            <w:r w:rsidRPr="00FB777C">
              <w:rPr>
                <w:rFonts w:ascii="Arial" w:hAnsi="Arial"/>
              </w:rPr>
              <w:t>Apply NANP Expansion Plan of Record (</w:t>
            </w:r>
            <w:r w:rsidR="00292304">
              <w:rPr>
                <w:rFonts w:ascii="Arial" w:hAnsi="Arial"/>
              </w:rPr>
              <w:t>1+</w:t>
            </w:r>
            <w:r w:rsidRPr="00FB777C">
              <w:rPr>
                <w:rFonts w:ascii="Arial" w:hAnsi="Arial"/>
              </w:rPr>
              <w:t xml:space="preserve">12 digits) to Unused 6YY </w:t>
            </w:r>
            <w:r w:rsidR="00017928" w:rsidRPr="00FB777C">
              <w:rPr>
                <w:rFonts w:ascii="Arial" w:hAnsi="Arial"/>
              </w:rPr>
              <w:t xml:space="preserve">NPAs </w:t>
            </w:r>
          </w:p>
        </w:tc>
      </w:tr>
      <w:tr w:rsidR="000768E1" w:rsidRPr="00FB777C" w14:paraId="63E26799" w14:textId="77777777" w:rsidTr="00FB777C">
        <w:tc>
          <w:tcPr>
            <w:tcW w:w="1517" w:type="dxa"/>
          </w:tcPr>
          <w:p w14:paraId="1660B594" w14:textId="77777777" w:rsidR="000768E1" w:rsidRPr="00FB777C" w:rsidRDefault="00FB23F8" w:rsidP="001351F2">
            <w:pPr>
              <w:spacing w:after="120"/>
              <w:ind w:left="567"/>
              <w:rPr>
                <w:rFonts w:ascii="Arial" w:hAnsi="Arial" w:cs="Arial"/>
              </w:rPr>
            </w:pPr>
            <w:r>
              <w:rPr>
                <w:rFonts w:ascii="Arial" w:hAnsi="Arial" w:cs="Arial"/>
              </w:rPr>
              <w:t>3</w:t>
            </w:r>
            <w:r w:rsidR="000768E1" w:rsidRPr="00FB777C">
              <w:rPr>
                <w:rFonts w:ascii="Arial" w:hAnsi="Arial" w:cs="Arial"/>
              </w:rPr>
              <w:t>.7.2</w:t>
            </w:r>
          </w:p>
        </w:tc>
        <w:tc>
          <w:tcPr>
            <w:tcW w:w="1432" w:type="dxa"/>
          </w:tcPr>
          <w:p w14:paraId="17229F79" w14:textId="77777777" w:rsidR="000768E1" w:rsidRPr="00FB777C" w:rsidDel="000768E1" w:rsidRDefault="000768E1" w:rsidP="001351F2">
            <w:pPr>
              <w:spacing w:after="120"/>
              <w:ind w:left="567"/>
              <w:rPr>
                <w:rFonts w:ascii="Arial" w:hAnsi="Arial" w:cs="Arial"/>
              </w:rPr>
            </w:pPr>
            <w:r w:rsidRPr="00FB777C">
              <w:rPr>
                <w:rFonts w:ascii="Arial" w:hAnsi="Arial" w:cs="Arial"/>
              </w:rPr>
              <w:t>7B</w:t>
            </w:r>
          </w:p>
        </w:tc>
        <w:tc>
          <w:tcPr>
            <w:tcW w:w="6411" w:type="dxa"/>
          </w:tcPr>
          <w:p w14:paraId="264C9AFB" w14:textId="77777777" w:rsidR="000768E1" w:rsidRPr="00FB777C" w:rsidRDefault="000768E1" w:rsidP="001351F2">
            <w:pPr>
              <w:spacing w:after="120"/>
              <w:ind w:left="567"/>
              <w:rPr>
                <w:rFonts w:ascii="Arial" w:hAnsi="Arial"/>
              </w:rPr>
            </w:pPr>
            <w:r w:rsidRPr="00FB777C">
              <w:rPr>
                <w:rFonts w:ascii="Arial" w:hAnsi="Arial"/>
              </w:rPr>
              <w:t xml:space="preserve">Expand Unused 6YY </w:t>
            </w:r>
            <w:r w:rsidR="00017928" w:rsidRPr="00FB777C">
              <w:rPr>
                <w:rFonts w:ascii="Arial" w:hAnsi="Arial"/>
              </w:rPr>
              <w:t xml:space="preserve">NPAs </w:t>
            </w:r>
            <w:r w:rsidRPr="00FB777C">
              <w:rPr>
                <w:rFonts w:ascii="Arial" w:hAnsi="Arial"/>
              </w:rPr>
              <w:t>to Utilize Full ITU E.164 Number Range (15 digits)</w:t>
            </w:r>
          </w:p>
        </w:tc>
      </w:tr>
    </w:tbl>
    <w:p w14:paraId="7FAD3F4E" w14:textId="77777777" w:rsidR="00FC3535" w:rsidRPr="00F458F1" w:rsidRDefault="00FC3535" w:rsidP="001351F2">
      <w:pPr>
        <w:rPr>
          <w:rFonts w:ascii="Arial" w:hAnsi="Arial" w:cs="Arial"/>
          <w:b/>
          <w:bCs/>
        </w:rPr>
      </w:pPr>
    </w:p>
    <w:p w14:paraId="346294AA" w14:textId="77777777" w:rsidR="00DD0BCC" w:rsidRDefault="003B5912" w:rsidP="001351F2">
      <w:pPr>
        <w:pStyle w:val="Heading1"/>
        <w:numPr>
          <w:ilvl w:val="1"/>
          <w:numId w:val="44"/>
        </w:numPr>
        <w:rPr>
          <w:rFonts w:ascii="Arial" w:hAnsi="Arial"/>
          <w:sz w:val="24"/>
          <w:szCs w:val="24"/>
        </w:rPr>
      </w:pPr>
      <w:bookmarkStart w:id="39" w:name="_Toc156387039"/>
      <w:bookmarkStart w:id="40" w:name="_Toc162946395"/>
      <w:r>
        <w:rPr>
          <w:rFonts w:ascii="Arial" w:hAnsi="Arial"/>
          <w:sz w:val="24"/>
          <w:szCs w:val="24"/>
        </w:rPr>
        <w:t xml:space="preserve">Option 1: </w:t>
      </w:r>
      <w:r w:rsidR="00C63BF2">
        <w:rPr>
          <w:rFonts w:ascii="Arial" w:hAnsi="Arial"/>
          <w:sz w:val="24"/>
          <w:szCs w:val="24"/>
        </w:rPr>
        <w:t xml:space="preserve">Obtain Additional Non-Geographic </w:t>
      </w:r>
      <w:r w:rsidR="00E1280C">
        <w:rPr>
          <w:rFonts w:ascii="Arial" w:hAnsi="Arial"/>
          <w:sz w:val="24"/>
          <w:szCs w:val="24"/>
        </w:rPr>
        <w:t>NPAs</w:t>
      </w:r>
      <w:bookmarkEnd w:id="39"/>
      <w:bookmarkEnd w:id="40"/>
      <w:r w:rsidR="00095556">
        <w:rPr>
          <w:rFonts w:ascii="Arial" w:hAnsi="Arial"/>
          <w:sz w:val="24"/>
          <w:szCs w:val="24"/>
        </w:rPr>
        <w:t xml:space="preserve"> </w:t>
      </w:r>
    </w:p>
    <w:p w14:paraId="44EE0504" w14:textId="77777777" w:rsidR="009F58EF" w:rsidRPr="009F58EF" w:rsidRDefault="009F58EF" w:rsidP="001351F2">
      <w:pPr>
        <w:rPr>
          <w:rFonts w:ascii="Arial" w:hAnsi="Arial" w:cs="Arial"/>
        </w:rPr>
      </w:pPr>
    </w:p>
    <w:p w14:paraId="7A433A53" w14:textId="77777777" w:rsidR="001F2488" w:rsidRDefault="009F58EF" w:rsidP="001351F2">
      <w:pPr>
        <w:rPr>
          <w:rFonts w:ascii="Arial" w:hAnsi="Arial" w:cs="Arial"/>
        </w:rPr>
      </w:pPr>
      <w:r w:rsidRPr="009F58EF">
        <w:rPr>
          <w:rFonts w:ascii="Arial" w:hAnsi="Arial" w:cs="Arial"/>
        </w:rPr>
        <w:t>Option 1 requires that NANPA assigns additional NPAs to Canada for use as non-geographic NPAs.  Option 1 would delay the potential exhaust date by making more codes available for assignment in Canada.</w:t>
      </w:r>
      <w:r w:rsidR="003D4703">
        <w:rPr>
          <w:rFonts w:ascii="Arial" w:hAnsi="Arial" w:cs="Arial"/>
        </w:rPr>
        <w:t xml:space="preserve">  </w:t>
      </w:r>
      <w:r w:rsidRPr="009F58EF">
        <w:rPr>
          <w:rFonts w:ascii="Arial" w:hAnsi="Arial" w:cs="Arial"/>
        </w:rPr>
        <w:t xml:space="preserve">The CRTC would have to make a formal request to NANPA to request additional codes. </w:t>
      </w:r>
    </w:p>
    <w:p w14:paraId="0021741F" w14:textId="77777777" w:rsidR="009F58EF" w:rsidRPr="009F58EF" w:rsidRDefault="009F58EF" w:rsidP="001351F2">
      <w:pPr>
        <w:rPr>
          <w:rFonts w:ascii="Arial" w:hAnsi="Arial" w:cs="Arial"/>
        </w:rPr>
      </w:pPr>
      <w:r w:rsidRPr="009F58EF">
        <w:rPr>
          <w:rFonts w:ascii="Arial" w:hAnsi="Arial" w:cs="Arial"/>
        </w:rPr>
        <w:t xml:space="preserve">Option 1 involves no new </w:t>
      </w:r>
      <w:proofErr w:type="gramStart"/>
      <w:r w:rsidRPr="009F58EF">
        <w:rPr>
          <w:rFonts w:ascii="Arial" w:hAnsi="Arial" w:cs="Arial"/>
        </w:rPr>
        <w:t>processes</w:t>
      </w:r>
      <w:proofErr w:type="gramEnd"/>
      <w:r w:rsidRPr="009F58EF">
        <w:rPr>
          <w:rFonts w:ascii="Arial" w:hAnsi="Arial" w:cs="Arial"/>
        </w:rPr>
        <w:t xml:space="preserve"> nor would it require CNAC or the industry to make equipment or software upgrades.  As a result, it would be simple and inexpensive to implement.</w:t>
      </w:r>
    </w:p>
    <w:p w14:paraId="1E708761" w14:textId="7E42D083" w:rsidR="009F58EF" w:rsidRPr="009F58EF" w:rsidRDefault="007141B7" w:rsidP="001351F2">
      <w:pPr>
        <w:rPr>
          <w:rFonts w:ascii="Arial" w:hAnsi="Arial" w:cs="Arial"/>
        </w:rPr>
      </w:pPr>
      <w:r>
        <w:rPr>
          <w:rFonts w:ascii="Arial" w:hAnsi="Arial" w:cs="Arial"/>
        </w:rPr>
        <w:t xml:space="preserve">However, </w:t>
      </w:r>
      <w:r w:rsidR="00494C83">
        <w:rPr>
          <w:rFonts w:ascii="Arial" w:hAnsi="Arial" w:cs="Arial"/>
        </w:rPr>
        <w:t>O</w:t>
      </w:r>
      <w:r>
        <w:rPr>
          <w:rFonts w:ascii="Arial" w:hAnsi="Arial" w:cs="Arial"/>
        </w:rPr>
        <w:t>p</w:t>
      </w:r>
      <w:r w:rsidR="009F58EF" w:rsidRPr="009F58EF">
        <w:rPr>
          <w:rFonts w:ascii="Arial" w:hAnsi="Arial" w:cs="Arial"/>
        </w:rPr>
        <w:t xml:space="preserve">tion 1 does not improve numbering efficiency.  As a result, each new NPA obtained would only add </w:t>
      </w:r>
      <w:r w:rsidR="009563D9">
        <w:rPr>
          <w:rFonts w:ascii="Arial" w:hAnsi="Arial" w:cs="Arial"/>
        </w:rPr>
        <w:t xml:space="preserve">791 </w:t>
      </w:r>
      <w:r w:rsidR="006F47DA" w:rsidRPr="00226D5D">
        <w:rPr>
          <w:rFonts w:ascii="Arial" w:hAnsi="Arial" w:cs="Arial"/>
        </w:rPr>
        <w:t>NXX</w:t>
      </w:r>
      <w:r w:rsidR="00017928">
        <w:rPr>
          <w:rFonts w:ascii="Arial" w:hAnsi="Arial" w:cs="Arial"/>
        </w:rPr>
        <w:t>s</w:t>
      </w:r>
      <w:r w:rsidR="009F58EF" w:rsidRPr="009F58EF">
        <w:rPr>
          <w:rFonts w:ascii="Arial" w:hAnsi="Arial" w:cs="Arial"/>
        </w:rPr>
        <w:t xml:space="preserve"> to the current inventory</w:t>
      </w:r>
      <w:r w:rsidR="001F2488">
        <w:rPr>
          <w:rFonts w:ascii="Arial" w:hAnsi="Arial" w:cs="Arial"/>
        </w:rPr>
        <w:t xml:space="preserve"> </w:t>
      </w:r>
      <w:r w:rsidR="008F2262">
        <w:rPr>
          <w:rFonts w:ascii="Arial" w:hAnsi="Arial" w:cs="Arial"/>
        </w:rPr>
        <w:t xml:space="preserve">(possibly </w:t>
      </w:r>
      <w:r w:rsidR="00755EEE">
        <w:rPr>
          <w:rFonts w:ascii="Arial" w:hAnsi="Arial" w:cs="Arial"/>
        </w:rPr>
        <w:t>more,</w:t>
      </w:r>
      <w:r w:rsidR="00755EEE">
        <w:rPr>
          <w:rFonts w:ascii="Arial" w:hAnsi="Arial" w:cs="Arial"/>
        </w:rPr>
        <w:t xml:space="preserve"> </w:t>
      </w:r>
      <w:r w:rsidR="008F2262">
        <w:rPr>
          <w:rFonts w:ascii="Arial" w:hAnsi="Arial" w:cs="Arial"/>
        </w:rPr>
        <w:t xml:space="preserve">subject to section </w:t>
      </w:r>
      <w:r w:rsidR="00452AA8">
        <w:rPr>
          <w:rFonts w:ascii="Arial" w:hAnsi="Arial" w:cs="Arial"/>
        </w:rPr>
        <w:t>3</w:t>
      </w:r>
      <w:r w:rsidR="008F2262">
        <w:rPr>
          <w:rFonts w:ascii="Arial" w:hAnsi="Arial" w:cs="Arial"/>
        </w:rPr>
        <w:t>.5)</w:t>
      </w:r>
      <w:r w:rsidR="009F58EF" w:rsidRPr="009F58EF">
        <w:rPr>
          <w:rFonts w:ascii="Arial" w:hAnsi="Arial" w:cs="Arial"/>
        </w:rPr>
        <w:t xml:space="preserve">.   </w:t>
      </w:r>
    </w:p>
    <w:p w14:paraId="5E065DF8" w14:textId="60B3FA11" w:rsidR="009F58EF" w:rsidRPr="009F58EF" w:rsidRDefault="009F58EF" w:rsidP="001351F2">
      <w:pPr>
        <w:rPr>
          <w:rFonts w:ascii="Arial" w:hAnsi="Arial" w:cs="Arial"/>
        </w:rPr>
      </w:pPr>
      <w:r w:rsidRPr="009F58EF">
        <w:rPr>
          <w:rFonts w:ascii="Arial" w:hAnsi="Arial" w:cs="Arial"/>
        </w:rPr>
        <w:t xml:space="preserve">The CSCN is not </w:t>
      </w:r>
      <w:proofErr w:type="gramStart"/>
      <w:r w:rsidRPr="009F58EF">
        <w:rPr>
          <w:rFonts w:ascii="Arial" w:hAnsi="Arial" w:cs="Arial"/>
        </w:rPr>
        <w:t>in a position</w:t>
      </w:r>
      <w:proofErr w:type="gramEnd"/>
      <w:r w:rsidRPr="009F58EF">
        <w:rPr>
          <w:rFonts w:ascii="Arial" w:hAnsi="Arial" w:cs="Arial"/>
        </w:rPr>
        <w:t xml:space="preserve"> to estimate how long it will take for the CRTC to obtain NANPA’s agreement to assign additional NPAs to Canada. </w:t>
      </w:r>
      <w:r w:rsidR="00F90426">
        <w:rPr>
          <w:rFonts w:ascii="Arial" w:hAnsi="Arial" w:cs="Arial"/>
        </w:rPr>
        <w:t xml:space="preserve">Once these unused </w:t>
      </w:r>
      <w:r w:rsidR="00B168B2">
        <w:rPr>
          <w:rFonts w:ascii="Arial" w:hAnsi="Arial" w:cs="Arial"/>
        </w:rPr>
        <w:t xml:space="preserve">NPAs </w:t>
      </w:r>
      <w:r w:rsidR="00F90426">
        <w:rPr>
          <w:rFonts w:ascii="Arial" w:hAnsi="Arial" w:cs="Arial"/>
        </w:rPr>
        <w:t xml:space="preserve">are reserved in the Canadian </w:t>
      </w:r>
      <w:r w:rsidR="008465C8">
        <w:rPr>
          <w:rFonts w:ascii="Arial" w:hAnsi="Arial" w:cs="Arial"/>
        </w:rPr>
        <w:t>n</w:t>
      </w:r>
      <w:r w:rsidR="00A06133">
        <w:rPr>
          <w:rFonts w:ascii="Arial" w:hAnsi="Arial" w:cs="Arial"/>
        </w:rPr>
        <w:t>on-</w:t>
      </w:r>
      <w:r w:rsidR="008465C8">
        <w:rPr>
          <w:rFonts w:ascii="Arial" w:hAnsi="Arial" w:cs="Arial"/>
        </w:rPr>
        <w:t>g</w:t>
      </w:r>
      <w:r w:rsidR="00A06133">
        <w:rPr>
          <w:rFonts w:ascii="Arial" w:hAnsi="Arial" w:cs="Arial"/>
        </w:rPr>
        <w:t xml:space="preserve">eographic </w:t>
      </w:r>
      <w:r w:rsidR="00F90426">
        <w:rPr>
          <w:rFonts w:ascii="Arial" w:hAnsi="Arial" w:cs="Arial"/>
        </w:rPr>
        <w:t>NPA pool</w:t>
      </w:r>
      <w:r w:rsidR="00B56021">
        <w:rPr>
          <w:rFonts w:ascii="Arial" w:hAnsi="Arial" w:cs="Arial"/>
        </w:rPr>
        <w:t>, the C</w:t>
      </w:r>
      <w:r w:rsidR="00E67531">
        <w:rPr>
          <w:rFonts w:ascii="Arial" w:hAnsi="Arial" w:cs="Arial"/>
        </w:rPr>
        <w:t xml:space="preserve">SCN would expect the CNA to </w:t>
      </w:r>
      <w:r w:rsidR="009905E1">
        <w:rPr>
          <w:rFonts w:ascii="Arial" w:hAnsi="Arial" w:cs="Arial"/>
        </w:rPr>
        <w:t xml:space="preserve">be able to have an NPA activated and available for assignment to Carriers as required </w:t>
      </w:r>
      <w:r w:rsidR="00382DCA">
        <w:rPr>
          <w:rFonts w:ascii="Arial" w:hAnsi="Arial" w:cs="Arial"/>
        </w:rPr>
        <w:t xml:space="preserve">in </w:t>
      </w:r>
      <w:r w:rsidR="0088594D">
        <w:rPr>
          <w:rFonts w:ascii="Arial" w:hAnsi="Arial" w:cs="Arial"/>
        </w:rPr>
        <w:t>approximately one</w:t>
      </w:r>
      <w:r w:rsidR="00E67531">
        <w:rPr>
          <w:rFonts w:ascii="Arial" w:hAnsi="Arial" w:cs="Arial"/>
        </w:rPr>
        <w:t xml:space="preserve"> month</w:t>
      </w:r>
      <w:r w:rsidR="008C6A92">
        <w:rPr>
          <w:rFonts w:ascii="Arial" w:hAnsi="Arial" w:cs="Arial"/>
        </w:rPr>
        <w:t>.</w:t>
      </w:r>
    </w:p>
    <w:p w14:paraId="354FD121" w14:textId="4000874A" w:rsidR="00C37F21" w:rsidRDefault="009F58EF" w:rsidP="001351F2">
      <w:pPr>
        <w:rPr>
          <w:rFonts w:ascii="Arial" w:hAnsi="Arial" w:cs="Arial"/>
        </w:rPr>
      </w:pPr>
      <w:r w:rsidRPr="009F58EF">
        <w:rPr>
          <w:rFonts w:ascii="Arial" w:hAnsi="Arial" w:cs="Arial"/>
        </w:rPr>
        <w:t xml:space="preserve">There are </w:t>
      </w:r>
      <w:r w:rsidR="00F01C42">
        <w:rPr>
          <w:rFonts w:ascii="Arial" w:hAnsi="Arial" w:cs="Arial"/>
        </w:rPr>
        <w:t>limited</w:t>
      </w:r>
      <w:r w:rsidRPr="009F58EF">
        <w:rPr>
          <w:rFonts w:ascii="Arial" w:hAnsi="Arial" w:cs="Arial"/>
        </w:rPr>
        <w:t xml:space="preserve"> NPAs left for NANPA to assign, and there is demand for these codes in the other countries within </w:t>
      </w:r>
      <w:r w:rsidR="00D3710D">
        <w:rPr>
          <w:rFonts w:ascii="Arial" w:hAnsi="Arial" w:cs="Arial"/>
        </w:rPr>
        <w:t xml:space="preserve">the </w:t>
      </w:r>
      <w:r w:rsidRPr="009F58EF">
        <w:rPr>
          <w:rFonts w:ascii="Arial" w:hAnsi="Arial" w:cs="Arial"/>
        </w:rPr>
        <w:t>NANP, most notably the United States.</w:t>
      </w:r>
    </w:p>
    <w:p w14:paraId="5216B741" w14:textId="74885B10" w:rsidR="00C37F21" w:rsidRDefault="003B5912" w:rsidP="001351F2">
      <w:pPr>
        <w:pStyle w:val="Heading1"/>
        <w:numPr>
          <w:ilvl w:val="1"/>
          <w:numId w:val="44"/>
        </w:numPr>
        <w:rPr>
          <w:rFonts w:ascii="Arial" w:hAnsi="Arial"/>
          <w:sz w:val="24"/>
          <w:szCs w:val="24"/>
        </w:rPr>
      </w:pPr>
      <w:bookmarkStart w:id="41" w:name="_Toc156387040"/>
      <w:bookmarkStart w:id="42" w:name="_Toc162946396"/>
      <w:r>
        <w:rPr>
          <w:rFonts w:ascii="Arial" w:hAnsi="Arial"/>
          <w:sz w:val="24"/>
          <w:szCs w:val="24"/>
        </w:rPr>
        <w:t xml:space="preserve">Option 2: </w:t>
      </w:r>
      <w:r w:rsidR="00C37F21">
        <w:rPr>
          <w:rFonts w:ascii="Arial" w:hAnsi="Arial"/>
          <w:sz w:val="24"/>
          <w:szCs w:val="24"/>
        </w:rPr>
        <w:t xml:space="preserve">Utilize </w:t>
      </w:r>
      <w:r w:rsidR="00452AA8">
        <w:rPr>
          <w:rFonts w:ascii="Arial" w:hAnsi="Arial"/>
          <w:sz w:val="24"/>
          <w:szCs w:val="24"/>
        </w:rPr>
        <w:t xml:space="preserve">NPA </w:t>
      </w:r>
      <w:r w:rsidR="00452AA8">
        <w:rPr>
          <w:rFonts w:ascii="Arial" w:hAnsi="Arial"/>
          <w:sz w:val="24"/>
          <w:szCs w:val="24"/>
        </w:rPr>
        <w:t>010</w:t>
      </w:r>
      <w:bookmarkEnd w:id="41"/>
      <w:bookmarkEnd w:id="42"/>
    </w:p>
    <w:p w14:paraId="4C811167" w14:textId="77777777" w:rsidR="00EE33BE" w:rsidRPr="00EE33BE" w:rsidRDefault="00EE33BE" w:rsidP="001351F2">
      <w:pPr>
        <w:rPr>
          <w:rFonts w:ascii="Arial" w:hAnsi="Arial" w:cs="Arial"/>
        </w:rPr>
      </w:pPr>
    </w:p>
    <w:p w14:paraId="0E857FA0" w14:textId="77777777" w:rsidR="0084497D" w:rsidRDefault="0084497D" w:rsidP="001351F2">
      <w:pPr>
        <w:rPr>
          <w:rFonts w:ascii="Arial" w:hAnsi="Arial" w:cs="Arial"/>
        </w:rPr>
      </w:pPr>
      <w:r>
        <w:rPr>
          <w:rFonts w:ascii="Arial" w:hAnsi="Arial" w:cs="Arial"/>
        </w:rPr>
        <w:t xml:space="preserve">Option 2 is for </w:t>
      </w:r>
      <w:r w:rsidR="002374C2">
        <w:rPr>
          <w:rFonts w:ascii="Arial" w:hAnsi="Arial" w:cs="Arial"/>
        </w:rPr>
        <w:t xml:space="preserve">Carriers </w:t>
      </w:r>
      <w:r>
        <w:rPr>
          <w:rFonts w:ascii="Arial" w:hAnsi="Arial" w:cs="Arial"/>
        </w:rPr>
        <w:t>to activate NPA 010 within their own networks</w:t>
      </w:r>
      <w:r w:rsidR="00494C83">
        <w:rPr>
          <w:rFonts w:ascii="Arial" w:hAnsi="Arial" w:cs="Arial"/>
        </w:rPr>
        <w:t xml:space="preserve"> </w:t>
      </w:r>
      <w:r>
        <w:rPr>
          <w:rFonts w:ascii="Arial" w:hAnsi="Arial" w:cs="Arial"/>
        </w:rPr>
        <w:t>and use the</w:t>
      </w:r>
      <w:r w:rsidR="00C1467A">
        <w:rPr>
          <w:rFonts w:ascii="Arial" w:hAnsi="Arial" w:cs="Arial"/>
        </w:rPr>
        <w:t>se</w:t>
      </w:r>
      <w:r>
        <w:rPr>
          <w:rFonts w:ascii="Arial" w:hAnsi="Arial" w:cs="Arial"/>
        </w:rPr>
        <w:t xml:space="preserve"> numbers for IoT devices.</w:t>
      </w:r>
    </w:p>
    <w:p w14:paraId="327DE37C" w14:textId="77777777" w:rsidR="00EE33BE" w:rsidRPr="00EE33BE" w:rsidRDefault="00EE33BE" w:rsidP="001351F2">
      <w:pPr>
        <w:rPr>
          <w:rFonts w:ascii="Arial" w:hAnsi="Arial" w:cs="Arial"/>
        </w:rPr>
      </w:pPr>
      <w:r w:rsidRPr="00EE33BE">
        <w:rPr>
          <w:rFonts w:ascii="Arial" w:hAnsi="Arial" w:cs="Arial"/>
        </w:rPr>
        <w:t xml:space="preserve">NPA 010 is currently available to each </w:t>
      </w:r>
      <w:r w:rsidR="00017928">
        <w:rPr>
          <w:rFonts w:ascii="Arial" w:hAnsi="Arial" w:cs="Arial"/>
        </w:rPr>
        <w:t>Carrier</w:t>
      </w:r>
      <w:r w:rsidR="00017928" w:rsidRPr="00EE33BE">
        <w:rPr>
          <w:rFonts w:ascii="Arial" w:hAnsi="Arial" w:cs="Arial"/>
        </w:rPr>
        <w:t xml:space="preserve"> </w:t>
      </w:r>
      <w:r w:rsidRPr="00EE33BE">
        <w:rPr>
          <w:rFonts w:ascii="Arial" w:hAnsi="Arial" w:cs="Arial"/>
        </w:rPr>
        <w:t xml:space="preserve">for intra-network data services and its use is limited only by the ability of a </w:t>
      </w:r>
      <w:r w:rsidR="00017928">
        <w:rPr>
          <w:rFonts w:ascii="Arial" w:hAnsi="Arial" w:cs="Arial"/>
        </w:rPr>
        <w:t>Carrier’s</w:t>
      </w:r>
      <w:r w:rsidR="00017928" w:rsidRPr="00EE33BE">
        <w:rPr>
          <w:rFonts w:ascii="Arial" w:hAnsi="Arial" w:cs="Arial"/>
        </w:rPr>
        <w:t xml:space="preserve"> </w:t>
      </w:r>
      <w:r w:rsidRPr="00EE33BE">
        <w:rPr>
          <w:rFonts w:ascii="Arial" w:hAnsi="Arial" w:cs="Arial"/>
        </w:rPr>
        <w:t>network to utilize NPA 010.</w:t>
      </w:r>
      <w:r w:rsidR="007141B7">
        <w:rPr>
          <w:rStyle w:val="FootnoteReference"/>
          <w:rFonts w:ascii="Arial" w:hAnsi="Arial" w:cs="Arial"/>
        </w:rPr>
        <w:footnoteReference w:id="16"/>
      </w:r>
      <w:r w:rsidRPr="00EE33BE">
        <w:rPr>
          <w:rFonts w:ascii="Arial" w:hAnsi="Arial" w:cs="Arial"/>
        </w:rPr>
        <w:t xml:space="preserve">  Each </w:t>
      </w:r>
      <w:r w:rsidR="00017928">
        <w:rPr>
          <w:rFonts w:ascii="Arial" w:hAnsi="Arial" w:cs="Arial"/>
        </w:rPr>
        <w:t>Carrier</w:t>
      </w:r>
      <w:r w:rsidR="00017928" w:rsidRPr="00EE33BE">
        <w:rPr>
          <w:rFonts w:ascii="Arial" w:hAnsi="Arial" w:cs="Arial"/>
        </w:rPr>
        <w:t xml:space="preserve"> </w:t>
      </w:r>
      <w:r w:rsidRPr="00EE33BE">
        <w:rPr>
          <w:rFonts w:ascii="Arial" w:hAnsi="Arial" w:cs="Arial"/>
        </w:rPr>
        <w:t xml:space="preserve">can adopt </w:t>
      </w:r>
      <w:r w:rsidRPr="00EE33BE">
        <w:rPr>
          <w:rFonts w:ascii="Arial" w:hAnsi="Arial" w:cs="Arial"/>
        </w:rPr>
        <w:lastRenderedPageBreak/>
        <w:t xml:space="preserve">NPA 010 independently of other </w:t>
      </w:r>
      <w:r w:rsidR="00017928">
        <w:rPr>
          <w:rFonts w:ascii="Arial" w:hAnsi="Arial" w:cs="Arial"/>
        </w:rPr>
        <w:t>Carriers</w:t>
      </w:r>
      <w:r w:rsidR="00017928" w:rsidRPr="00EE33BE">
        <w:rPr>
          <w:rFonts w:ascii="Arial" w:hAnsi="Arial" w:cs="Arial"/>
        </w:rPr>
        <w:t xml:space="preserve"> </w:t>
      </w:r>
      <w:r w:rsidRPr="00EE33BE">
        <w:rPr>
          <w:rFonts w:ascii="Arial" w:hAnsi="Arial" w:cs="Arial"/>
        </w:rPr>
        <w:t xml:space="preserve">and no resource code application to the CNA is required.  The use of NPA 010 by </w:t>
      </w:r>
      <w:r w:rsidR="00017928">
        <w:rPr>
          <w:rFonts w:ascii="Arial" w:hAnsi="Arial" w:cs="Arial"/>
        </w:rPr>
        <w:t>Carriers</w:t>
      </w:r>
      <w:r w:rsidR="00017928" w:rsidRPr="00EE33BE">
        <w:rPr>
          <w:rFonts w:ascii="Arial" w:hAnsi="Arial" w:cs="Arial"/>
        </w:rPr>
        <w:t xml:space="preserve"> </w:t>
      </w:r>
      <w:r w:rsidRPr="00EE33BE">
        <w:rPr>
          <w:rFonts w:ascii="Arial" w:hAnsi="Arial" w:cs="Arial"/>
        </w:rPr>
        <w:t xml:space="preserve">for intra-network data services could divert demand of TNs away from 6YY NPAs. The entire NPA 010, if used with the current NANP </w:t>
      </w:r>
      <w:r w:rsidR="00017928">
        <w:rPr>
          <w:rFonts w:ascii="Arial" w:hAnsi="Arial" w:cs="Arial"/>
        </w:rPr>
        <w:t>1+</w:t>
      </w:r>
      <w:r w:rsidRPr="00EE33BE">
        <w:rPr>
          <w:rFonts w:ascii="Arial" w:hAnsi="Arial" w:cs="Arial"/>
        </w:rPr>
        <w:t xml:space="preserve">10-digit numbering format, would provide each </w:t>
      </w:r>
      <w:r w:rsidR="002374C2">
        <w:rPr>
          <w:rFonts w:ascii="Arial" w:hAnsi="Arial" w:cs="Arial"/>
        </w:rPr>
        <w:t>Carrier</w:t>
      </w:r>
      <w:r w:rsidR="002374C2" w:rsidRPr="00EE33BE">
        <w:rPr>
          <w:rFonts w:ascii="Arial" w:hAnsi="Arial" w:cs="Arial"/>
        </w:rPr>
        <w:t xml:space="preserve"> </w:t>
      </w:r>
      <w:r w:rsidRPr="00EE33BE">
        <w:rPr>
          <w:rFonts w:ascii="Arial" w:hAnsi="Arial" w:cs="Arial"/>
        </w:rPr>
        <w:t xml:space="preserve">choosing to utilize NPA 010 with </w:t>
      </w:r>
      <w:r w:rsidR="00104008">
        <w:rPr>
          <w:rFonts w:ascii="Arial" w:hAnsi="Arial" w:cs="Arial"/>
        </w:rPr>
        <w:t>1,000</w:t>
      </w:r>
      <w:r w:rsidRPr="00EE33BE">
        <w:rPr>
          <w:rFonts w:ascii="Arial" w:hAnsi="Arial" w:cs="Arial"/>
        </w:rPr>
        <w:t xml:space="preserve"> </w:t>
      </w:r>
      <w:r w:rsidR="00707A62">
        <w:rPr>
          <w:rFonts w:ascii="Arial" w:hAnsi="Arial" w:cs="Arial"/>
        </w:rPr>
        <w:t>NXXs</w:t>
      </w:r>
      <w:r w:rsidRPr="00EE33BE">
        <w:rPr>
          <w:rFonts w:ascii="Arial" w:hAnsi="Arial" w:cs="Arial"/>
        </w:rPr>
        <w:t xml:space="preserve"> or </w:t>
      </w:r>
      <w:r w:rsidR="00104008">
        <w:rPr>
          <w:rFonts w:ascii="Arial" w:hAnsi="Arial" w:cs="Arial"/>
        </w:rPr>
        <w:t>1,000</w:t>
      </w:r>
      <w:r w:rsidRPr="00EE33BE">
        <w:rPr>
          <w:rFonts w:ascii="Arial" w:hAnsi="Arial" w:cs="Arial"/>
        </w:rPr>
        <w:t xml:space="preserve"> * 10,000 = </w:t>
      </w:r>
      <w:r w:rsidR="00104008">
        <w:rPr>
          <w:rFonts w:ascii="Arial" w:hAnsi="Arial" w:cs="Arial"/>
        </w:rPr>
        <w:t>10</w:t>
      </w:r>
      <w:r w:rsidRPr="00EE33BE">
        <w:rPr>
          <w:rFonts w:ascii="Arial" w:hAnsi="Arial" w:cs="Arial"/>
        </w:rPr>
        <w:t xml:space="preserve">,000,000 TNs.  </w:t>
      </w:r>
    </w:p>
    <w:p w14:paraId="228CD507" w14:textId="77777777" w:rsidR="00EE33BE" w:rsidRDefault="00EE33BE" w:rsidP="001351F2">
      <w:pPr>
        <w:rPr>
          <w:rFonts w:ascii="Arial" w:hAnsi="Arial" w:cs="Arial"/>
        </w:rPr>
      </w:pPr>
      <w:r w:rsidRPr="00EE33BE">
        <w:rPr>
          <w:rFonts w:ascii="Arial" w:hAnsi="Arial" w:cs="Arial"/>
        </w:rPr>
        <w:t xml:space="preserve">Further, the </w:t>
      </w:r>
      <w:r w:rsidR="00707A62">
        <w:rPr>
          <w:rFonts w:ascii="Arial" w:hAnsi="Arial" w:cs="Arial"/>
        </w:rPr>
        <w:t>Carrier</w:t>
      </w:r>
      <w:r w:rsidR="00707A62" w:rsidRPr="00EE33BE">
        <w:rPr>
          <w:rFonts w:ascii="Arial" w:hAnsi="Arial" w:cs="Arial"/>
        </w:rPr>
        <w:t xml:space="preserve">s </w:t>
      </w:r>
      <w:r w:rsidRPr="00EE33BE">
        <w:rPr>
          <w:rFonts w:ascii="Arial" w:hAnsi="Arial" w:cs="Arial"/>
        </w:rPr>
        <w:t xml:space="preserve">could unilaterally extend the length of their NPA 010 numbers to </w:t>
      </w:r>
      <w:r w:rsidR="00494C83">
        <w:rPr>
          <w:rFonts w:ascii="Arial" w:hAnsi="Arial" w:cs="Arial"/>
        </w:rPr>
        <w:t xml:space="preserve">as many as </w:t>
      </w:r>
      <w:r w:rsidR="0000669D">
        <w:rPr>
          <w:rFonts w:ascii="Arial" w:hAnsi="Arial" w:cs="Arial"/>
        </w:rPr>
        <w:t>1+14</w:t>
      </w:r>
      <w:r w:rsidRPr="00EE33BE">
        <w:rPr>
          <w:rFonts w:ascii="Arial" w:hAnsi="Arial" w:cs="Arial"/>
        </w:rPr>
        <w:t xml:space="preserve"> digits</w:t>
      </w:r>
      <w:r w:rsidR="00494C83">
        <w:rPr>
          <w:rFonts w:ascii="Arial" w:hAnsi="Arial" w:cs="Arial"/>
        </w:rPr>
        <w:t>,</w:t>
      </w:r>
      <w:r w:rsidRPr="00EE33BE">
        <w:rPr>
          <w:rFonts w:ascii="Arial" w:hAnsi="Arial" w:cs="Arial"/>
        </w:rPr>
        <w:t xml:space="preserve"> providing even more available TNs.  Different </w:t>
      </w:r>
      <w:r w:rsidR="003C1283">
        <w:rPr>
          <w:rFonts w:ascii="Arial" w:hAnsi="Arial" w:cs="Arial"/>
        </w:rPr>
        <w:t>Carriers</w:t>
      </w:r>
      <w:r w:rsidR="003C1283" w:rsidRPr="00EE33BE">
        <w:rPr>
          <w:rFonts w:ascii="Arial" w:hAnsi="Arial" w:cs="Arial"/>
        </w:rPr>
        <w:t xml:space="preserve"> </w:t>
      </w:r>
      <w:r w:rsidRPr="00EE33BE">
        <w:rPr>
          <w:rFonts w:ascii="Arial" w:hAnsi="Arial" w:cs="Arial"/>
        </w:rPr>
        <w:t xml:space="preserve">can choose different TN length approaches based on their network equipment.  A 2-digit extension to the current NANP </w:t>
      </w:r>
      <w:r w:rsidR="00707A62">
        <w:rPr>
          <w:rFonts w:ascii="Arial" w:hAnsi="Arial" w:cs="Arial"/>
        </w:rPr>
        <w:t>1+</w:t>
      </w:r>
      <w:r w:rsidRPr="00EE33BE">
        <w:rPr>
          <w:rFonts w:ascii="Arial" w:hAnsi="Arial" w:cs="Arial"/>
        </w:rPr>
        <w:t xml:space="preserve">10-digit TN format would yield </w:t>
      </w:r>
      <w:r w:rsidR="0022622E">
        <w:rPr>
          <w:rFonts w:ascii="Arial" w:hAnsi="Arial" w:cs="Arial"/>
        </w:rPr>
        <w:t xml:space="preserve">up to </w:t>
      </w:r>
      <w:r w:rsidRPr="00EE33BE">
        <w:rPr>
          <w:rFonts w:ascii="Arial" w:hAnsi="Arial" w:cs="Arial"/>
        </w:rPr>
        <w:t xml:space="preserve">100 times the TNs for each </w:t>
      </w:r>
      <w:r w:rsidR="00707A62">
        <w:rPr>
          <w:rFonts w:ascii="Arial" w:hAnsi="Arial" w:cs="Arial"/>
        </w:rPr>
        <w:t>Carrier</w:t>
      </w:r>
      <w:r w:rsidR="00707A62" w:rsidRPr="00EE33BE">
        <w:rPr>
          <w:rFonts w:ascii="Arial" w:hAnsi="Arial" w:cs="Arial"/>
        </w:rPr>
        <w:t xml:space="preserve"> </w:t>
      </w:r>
      <w:r w:rsidRPr="00EE33BE">
        <w:rPr>
          <w:rFonts w:ascii="Arial" w:hAnsi="Arial" w:cs="Arial"/>
        </w:rPr>
        <w:t xml:space="preserve">using NPA 010.  A </w:t>
      </w:r>
      <w:r w:rsidR="008B6F7F">
        <w:rPr>
          <w:rFonts w:ascii="Arial" w:hAnsi="Arial" w:cs="Arial"/>
        </w:rPr>
        <w:t>4</w:t>
      </w:r>
      <w:r w:rsidRPr="00EE33BE">
        <w:rPr>
          <w:rFonts w:ascii="Arial" w:hAnsi="Arial" w:cs="Arial"/>
        </w:rPr>
        <w:t xml:space="preserve">-digit extension (to a total of </w:t>
      </w:r>
      <w:r w:rsidR="00707A62">
        <w:rPr>
          <w:rFonts w:ascii="Arial" w:hAnsi="Arial" w:cs="Arial"/>
        </w:rPr>
        <w:t>1+14</w:t>
      </w:r>
      <w:r w:rsidR="00707A62" w:rsidRPr="00EE33BE">
        <w:rPr>
          <w:rFonts w:ascii="Arial" w:hAnsi="Arial" w:cs="Arial"/>
        </w:rPr>
        <w:t xml:space="preserve"> </w:t>
      </w:r>
      <w:r w:rsidRPr="00EE33BE">
        <w:rPr>
          <w:rFonts w:ascii="Arial" w:hAnsi="Arial" w:cs="Arial"/>
        </w:rPr>
        <w:t>digits) would yield 100 times more TNs than a</w:t>
      </w:r>
      <w:r w:rsidR="00EE5FE9">
        <w:rPr>
          <w:rFonts w:ascii="Arial" w:hAnsi="Arial" w:cs="Arial"/>
        </w:rPr>
        <w:t xml:space="preserve"> </w:t>
      </w:r>
      <w:r w:rsidRPr="00EE33BE">
        <w:rPr>
          <w:rFonts w:ascii="Arial" w:hAnsi="Arial" w:cs="Arial"/>
        </w:rPr>
        <w:t xml:space="preserve">2-digit </w:t>
      </w:r>
      <w:r w:rsidR="008802B3">
        <w:rPr>
          <w:rFonts w:ascii="Arial" w:hAnsi="Arial" w:cs="Arial"/>
        </w:rPr>
        <w:t>extension</w:t>
      </w:r>
      <w:r w:rsidRPr="00EE33BE">
        <w:rPr>
          <w:rFonts w:ascii="Arial" w:hAnsi="Arial" w:cs="Arial"/>
        </w:rPr>
        <w:t xml:space="preserve">. </w:t>
      </w:r>
    </w:p>
    <w:p w14:paraId="0FD5443D" w14:textId="127EBC55" w:rsidR="00EE33BE" w:rsidRDefault="005A3AFA" w:rsidP="001351F2">
      <w:pPr>
        <w:rPr>
          <w:rFonts w:ascii="Arial" w:hAnsi="Arial" w:cs="Arial"/>
        </w:rPr>
      </w:pPr>
      <w:r>
        <w:rPr>
          <w:rFonts w:ascii="Arial" w:hAnsi="Arial" w:cs="Arial"/>
        </w:rPr>
        <w:t>A b</w:t>
      </w:r>
      <w:r w:rsidR="00EE33BE" w:rsidRPr="00EE33BE">
        <w:rPr>
          <w:rFonts w:ascii="Arial" w:hAnsi="Arial" w:cs="Arial"/>
        </w:rPr>
        <w:t xml:space="preserve">arrier to </w:t>
      </w:r>
      <w:r w:rsidR="00BE56BA">
        <w:rPr>
          <w:rFonts w:ascii="Arial" w:hAnsi="Arial" w:cs="Arial"/>
        </w:rPr>
        <w:t>inter-</w:t>
      </w:r>
      <w:r w:rsidR="002630BE">
        <w:rPr>
          <w:rFonts w:ascii="Arial" w:hAnsi="Arial" w:cs="Arial"/>
        </w:rPr>
        <w:t>Carrier</w:t>
      </w:r>
      <w:r w:rsidR="002630BE" w:rsidRPr="00EE33BE">
        <w:rPr>
          <w:rFonts w:ascii="Arial" w:hAnsi="Arial" w:cs="Arial"/>
        </w:rPr>
        <w:t xml:space="preserve"> </w:t>
      </w:r>
      <w:r w:rsidR="00EE33BE" w:rsidRPr="00EE33BE">
        <w:rPr>
          <w:rFonts w:ascii="Arial" w:hAnsi="Arial" w:cs="Arial"/>
        </w:rPr>
        <w:t xml:space="preserve">utilization of NPA 010 numbers </w:t>
      </w:r>
      <w:r w:rsidR="00B26F32">
        <w:rPr>
          <w:rFonts w:ascii="Arial" w:hAnsi="Arial" w:cs="Arial"/>
        </w:rPr>
        <w:t>c</w:t>
      </w:r>
      <w:r w:rsidR="005174D7">
        <w:rPr>
          <w:rFonts w:ascii="Arial" w:hAnsi="Arial" w:cs="Arial"/>
        </w:rPr>
        <w:t>ould be Carrier</w:t>
      </w:r>
      <w:r w:rsidR="005174D7" w:rsidRPr="00EE33BE">
        <w:rPr>
          <w:rFonts w:ascii="Arial" w:hAnsi="Arial" w:cs="Arial"/>
        </w:rPr>
        <w:t xml:space="preserve"> </w:t>
      </w:r>
      <w:r w:rsidR="00D41AA9" w:rsidRPr="00B26F32">
        <w:rPr>
          <w:rFonts w:ascii="Arial" w:hAnsi="Arial" w:cs="Arial"/>
        </w:rPr>
        <w:t>support systems</w:t>
      </w:r>
      <w:r w:rsidR="00EE33BE" w:rsidRPr="00B26F32">
        <w:rPr>
          <w:rFonts w:ascii="Arial" w:hAnsi="Arial" w:cs="Arial"/>
        </w:rPr>
        <w:t>.</w:t>
      </w:r>
      <w:r w:rsidR="00EE33BE" w:rsidRPr="00EE33BE">
        <w:rPr>
          <w:rFonts w:ascii="Arial" w:hAnsi="Arial" w:cs="Arial"/>
        </w:rPr>
        <w:t xml:space="preserve">  </w:t>
      </w:r>
      <w:r w:rsidR="00B26F32">
        <w:rPr>
          <w:rFonts w:ascii="Arial" w:hAnsi="Arial" w:cs="Arial"/>
        </w:rPr>
        <w:t>This</w:t>
      </w:r>
      <w:r w:rsidR="00B26F32" w:rsidRPr="00EE33BE">
        <w:rPr>
          <w:rFonts w:ascii="Arial" w:hAnsi="Arial" w:cs="Arial"/>
        </w:rPr>
        <w:t xml:space="preserve"> </w:t>
      </w:r>
      <w:r w:rsidR="00EE33BE" w:rsidRPr="00EE33BE">
        <w:rPr>
          <w:rFonts w:ascii="Arial" w:hAnsi="Arial" w:cs="Arial"/>
        </w:rPr>
        <w:t xml:space="preserve">barrier could be significant and could vary by </w:t>
      </w:r>
      <w:r w:rsidR="002630BE">
        <w:rPr>
          <w:rFonts w:ascii="Arial" w:hAnsi="Arial" w:cs="Arial"/>
        </w:rPr>
        <w:t>Carrier</w:t>
      </w:r>
      <w:r w:rsidR="00EE33BE" w:rsidRPr="00EE33BE">
        <w:rPr>
          <w:rFonts w:ascii="Arial" w:hAnsi="Arial" w:cs="Arial"/>
        </w:rPr>
        <w:t>.  Additionally, a</w:t>
      </w:r>
      <w:r w:rsidR="003B5912">
        <w:rPr>
          <w:rFonts w:ascii="Arial" w:hAnsi="Arial" w:cs="Arial"/>
        </w:rPr>
        <w:t xml:space="preserve">n application for </w:t>
      </w:r>
      <w:r w:rsidR="00EE33BE" w:rsidRPr="00EE33BE">
        <w:rPr>
          <w:rFonts w:ascii="Arial" w:hAnsi="Arial" w:cs="Arial"/>
        </w:rPr>
        <w:t>fixed</w:t>
      </w:r>
      <w:r w:rsidR="003B5912">
        <w:rPr>
          <w:rFonts w:ascii="Arial" w:hAnsi="Arial" w:cs="Arial"/>
        </w:rPr>
        <w:t xml:space="preserve">-location devices </w:t>
      </w:r>
      <w:r w:rsidR="00EE33BE" w:rsidRPr="00EE33BE">
        <w:rPr>
          <w:rFonts w:ascii="Arial" w:hAnsi="Arial" w:cs="Arial"/>
        </w:rPr>
        <w:t xml:space="preserve">could eventually </w:t>
      </w:r>
      <w:r w:rsidR="003B5912">
        <w:rPr>
          <w:rFonts w:ascii="Arial" w:hAnsi="Arial" w:cs="Arial"/>
        </w:rPr>
        <w:t>evolve</w:t>
      </w:r>
      <w:r w:rsidR="00EE33BE" w:rsidRPr="00EE33BE">
        <w:rPr>
          <w:rFonts w:ascii="Arial" w:hAnsi="Arial" w:cs="Arial"/>
        </w:rPr>
        <w:t xml:space="preserve"> to include a requirement for </w:t>
      </w:r>
      <w:r w:rsidR="003B5912">
        <w:rPr>
          <w:rFonts w:ascii="Arial" w:hAnsi="Arial" w:cs="Arial"/>
        </w:rPr>
        <w:t>mobility.</w:t>
      </w:r>
      <w:r w:rsidR="00EE33BE" w:rsidRPr="00EE33BE">
        <w:rPr>
          <w:rFonts w:ascii="Arial" w:hAnsi="Arial" w:cs="Arial"/>
        </w:rPr>
        <w:t xml:space="preserve">   </w:t>
      </w:r>
      <w:r w:rsidR="00D97145">
        <w:rPr>
          <w:rFonts w:ascii="Arial" w:hAnsi="Arial" w:cs="Arial"/>
        </w:rPr>
        <w:t xml:space="preserve">There is no </w:t>
      </w:r>
      <w:r w:rsidR="001F649D">
        <w:rPr>
          <w:rFonts w:ascii="Arial" w:hAnsi="Arial" w:cs="Arial"/>
        </w:rPr>
        <w:t>centralized mechanism</w:t>
      </w:r>
      <w:r w:rsidR="00D97145">
        <w:rPr>
          <w:rFonts w:ascii="Arial" w:hAnsi="Arial" w:cs="Arial"/>
        </w:rPr>
        <w:t xml:space="preserve"> </w:t>
      </w:r>
      <w:r w:rsidR="001F649D">
        <w:rPr>
          <w:rFonts w:ascii="Arial" w:hAnsi="Arial" w:cs="Arial"/>
        </w:rPr>
        <w:t xml:space="preserve">to coordinate the sharing of NPA 010 </w:t>
      </w:r>
      <w:r w:rsidR="0077255A">
        <w:rPr>
          <w:rFonts w:ascii="Arial" w:hAnsi="Arial" w:cs="Arial"/>
        </w:rPr>
        <w:t>resources</w:t>
      </w:r>
      <w:r w:rsidR="0077255A">
        <w:rPr>
          <w:rFonts w:ascii="Arial" w:hAnsi="Arial" w:cs="Arial"/>
        </w:rPr>
        <w:t xml:space="preserve"> </w:t>
      </w:r>
      <w:r w:rsidR="00283AA6">
        <w:rPr>
          <w:rFonts w:ascii="Arial" w:hAnsi="Arial" w:cs="Arial"/>
        </w:rPr>
        <w:t xml:space="preserve">for </w:t>
      </w:r>
      <w:r w:rsidR="007141B7">
        <w:rPr>
          <w:rFonts w:ascii="Arial" w:hAnsi="Arial" w:cs="Arial"/>
        </w:rPr>
        <w:t xml:space="preserve">communication between different </w:t>
      </w:r>
      <w:r w:rsidR="005174D7">
        <w:rPr>
          <w:rFonts w:ascii="Arial" w:hAnsi="Arial" w:cs="Arial"/>
        </w:rPr>
        <w:t xml:space="preserve">Carriers’ </w:t>
      </w:r>
      <w:r w:rsidR="007141B7">
        <w:rPr>
          <w:rFonts w:ascii="Arial" w:hAnsi="Arial" w:cs="Arial"/>
        </w:rPr>
        <w:t>networks</w:t>
      </w:r>
      <w:r w:rsidR="0077255A">
        <w:rPr>
          <w:rFonts w:ascii="Arial" w:hAnsi="Arial" w:cs="Arial"/>
        </w:rPr>
        <w:t>.</w:t>
      </w:r>
    </w:p>
    <w:p w14:paraId="03A791B6" w14:textId="77777777" w:rsidR="00735A43" w:rsidRPr="00DF611E" w:rsidRDefault="003B5912" w:rsidP="001351F2">
      <w:pPr>
        <w:pStyle w:val="Heading1"/>
        <w:numPr>
          <w:ilvl w:val="1"/>
          <w:numId w:val="44"/>
        </w:numPr>
        <w:rPr>
          <w:rFonts w:ascii="Arial" w:hAnsi="Arial"/>
          <w:sz w:val="24"/>
          <w:szCs w:val="24"/>
        </w:rPr>
      </w:pPr>
      <w:r>
        <w:rPr>
          <w:rFonts w:ascii="Arial" w:hAnsi="Arial" w:cs="Arial"/>
        </w:rPr>
        <w:t xml:space="preserve"> </w:t>
      </w:r>
      <w:bookmarkStart w:id="43" w:name="_Toc156387041"/>
      <w:bookmarkStart w:id="44" w:name="_Toc162946397"/>
      <w:r>
        <w:rPr>
          <w:rFonts w:ascii="Arial" w:hAnsi="Arial"/>
          <w:sz w:val="24"/>
          <w:szCs w:val="24"/>
        </w:rPr>
        <w:t>Option 3: U</w:t>
      </w:r>
      <w:r w:rsidR="00735A43">
        <w:rPr>
          <w:rFonts w:ascii="Arial" w:hAnsi="Arial"/>
          <w:sz w:val="24"/>
          <w:szCs w:val="24"/>
        </w:rPr>
        <w:t xml:space="preserve">tilize </w:t>
      </w:r>
      <w:r w:rsidR="00D65E2B">
        <w:rPr>
          <w:rFonts w:ascii="Arial" w:hAnsi="Arial"/>
          <w:sz w:val="24"/>
          <w:szCs w:val="24"/>
        </w:rPr>
        <w:t xml:space="preserve">Alternative </w:t>
      </w:r>
      <w:r w:rsidR="009447DB">
        <w:rPr>
          <w:rFonts w:ascii="Arial" w:hAnsi="Arial"/>
          <w:sz w:val="24"/>
          <w:szCs w:val="24"/>
        </w:rPr>
        <w:t>Addressing Formats</w:t>
      </w:r>
      <w:bookmarkEnd w:id="43"/>
      <w:bookmarkEnd w:id="44"/>
      <w:r w:rsidR="00735A43" w:rsidRPr="00BB5D4F">
        <w:rPr>
          <w:rFonts w:ascii="Arial" w:hAnsi="Arial"/>
          <w:sz w:val="24"/>
          <w:szCs w:val="24"/>
        </w:rPr>
        <w:br/>
      </w:r>
    </w:p>
    <w:p w14:paraId="4E8D9369" w14:textId="77777777" w:rsidR="0084497D" w:rsidRDefault="0084497D" w:rsidP="001351F2">
      <w:pPr>
        <w:rPr>
          <w:rFonts w:ascii="Arial" w:hAnsi="Arial" w:cs="Arial"/>
        </w:rPr>
      </w:pPr>
      <w:r>
        <w:rPr>
          <w:rFonts w:ascii="Arial" w:hAnsi="Arial" w:cs="Arial"/>
        </w:rPr>
        <w:t xml:space="preserve">Option 3 is for </w:t>
      </w:r>
      <w:r w:rsidR="00A52A39">
        <w:rPr>
          <w:rFonts w:ascii="Arial" w:hAnsi="Arial" w:cs="Arial"/>
        </w:rPr>
        <w:t xml:space="preserve">Carriers </w:t>
      </w:r>
      <w:r>
        <w:rPr>
          <w:rFonts w:ascii="Arial" w:hAnsi="Arial" w:cs="Arial"/>
        </w:rPr>
        <w:t xml:space="preserve">to use another addressing scheme </w:t>
      </w:r>
      <w:r w:rsidRPr="00AE20BC">
        <w:rPr>
          <w:rFonts w:ascii="Arial" w:hAnsi="Arial" w:cs="Arial"/>
        </w:rPr>
        <w:t>instead of TNs</w:t>
      </w:r>
      <w:r w:rsidRPr="001B35E4">
        <w:rPr>
          <w:rFonts w:ascii="Arial" w:hAnsi="Arial"/>
        </w:rPr>
        <w:t>.</w:t>
      </w:r>
      <w:r>
        <w:rPr>
          <w:rFonts w:ascii="Arial" w:hAnsi="Arial" w:cs="Arial"/>
        </w:rPr>
        <w:t xml:space="preserve">  </w:t>
      </w:r>
    </w:p>
    <w:p w14:paraId="285D0800" w14:textId="2BF6FEA2" w:rsidR="003B5912" w:rsidRDefault="0084497D" w:rsidP="001351F2">
      <w:pPr>
        <w:rPr>
          <w:rFonts w:ascii="Arial" w:hAnsi="Arial" w:cs="Arial"/>
        </w:rPr>
      </w:pPr>
      <w:r>
        <w:rPr>
          <w:rFonts w:ascii="Arial" w:hAnsi="Arial" w:cs="Arial"/>
        </w:rPr>
        <w:t>Option 3</w:t>
      </w:r>
      <w:r w:rsidR="00DF611E" w:rsidRPr="00B33BD9">
        <w:rPr>
          <w:rFonts w:ascii="Arial" w:hAnsi="Arial" w:cs="Arial"/>
        </w:rPr>
        <w:t xml:space="preserve"> is available today</w:t>
      </w:r>
      <w:r w:rsidR="00095556">
        <w:rPr>
          <w:rFonts w:ascii="Arial" w:hAnsi="Arial" w:cs="Arial"/>
        </w:rPr>
        <w:t xml:space="preserve"> </w:t>
      </w:r>
      <w:r w:rsidR="00DF611E" w:rsidRPr="00B33BD9">
        <w:rPr>
          <w:rFonts w:ascii="Arial" w:hAnsi="Arial" w:cs="Arial"/>
        </w:rPr>
        <w:t xml:space="preserve">and involves </w:t>
      </w:r>
      <w:r w:rsidR="00017928">
        <w:rPr>
          <w:rFonts w:ascii="Arial" w:hAnsi="Arial" w:cs="Arial"/>
        </w:rPr>
        <w:t>Carriers</w:t>
      </w:r>
      <w:r w:rsidR="00017928" w:rsidRPr="00B33BD9">
        <w:rPr>
          <w:rFonts w:ascii="Arial" w:hAnsi="Arial" w:cs="Arial"/>
        </w:rPr>
        <w:t xml:space="preserve"> </w:t>
      </w:r>
      <w:r w:rsidR="00DF611E" w:rsidRPr="00B33BD9">
        <w:rPr>
          <w:rFonts w:ascii="Arial" w:hAnsi="Arial" w:cs="Arial"/>
        </w:rPr>
        <w:t>developing their own numbering scheme for IoT/M2M</w:t>
      </w:r>
      <w:r w:rsidR="00B972F3">
        <w:rPr>
          <w:rFonts w:ascii="Arial" w:hAnsi="Arial" w:cs="Arial"/>
        </w:rPr>
        <w:t xml:space="preserve"> outside</w:t>
      </w:r>
      <w:r w:rsidR="00DF611E" w:rsidRPr="00B33BD9">
        <w:rPr>
          <w:rFonts w:ascii="Arial" w:hAnsi="Arial" w:cs="Arial"/>
        </w:rPr>
        <w:t xml:space="preserve"> the PSTN.  Non-dialable numbering schemes exist today, for example wireless Emergency Service Routing Digits (ESRD</w:t>
      </w:r>
      <w:r w:rsidR="00DF611E" w:rsidRPr="00CA7DF9">
        <w:rPr>
          <w:rFonts w:ascii="Arial" w:hAnsi="Arial" w:cs="Arial"/>
        </w:rPr>
        <w:t>)</w:t>
      </w:r>
      <w:r w:rsidR="00BF52A6">
        <w:rPr>
          <w:rFonts w:ascii="Arial" w:hAnsi="Arial" w:cs="Arial"/>
        </w:rPr>
        <w:t>.</w:t>
      </w:r>
      <w:r w:rsidR="00DF611E">
        <w:rPr>
          <w:rStyle w:val="FootnoteReference"/>
          <w:rFonts w:ascii="Arial" w:hAnsi="Arial" w:cs="Arial"/>
        </w:rPr>
        <w:footnoteReference w:id="17"/>
      </w:r>
      <w:r w:rsidR="00DF611E" w:rsidRPr="00B33BD9">
        <w:rPr>
          <w:rFonts w:ascii="Arial" w:hAnsi="Arial" w:cs="Arial"/>
        </w:rPr>
        <w:t xml:space="preserve">  </w:t>
      </w:r>
      <w:r w:rsidR="00065133">
        <w:rPr>
          <w:rFonts w:ascii="Arial" w:hAnsi="Arial" w:cs="Arial"/>
        </w:rPr>
        <w:t>N</w:t>
      </w:r>
      <w:r w:rsidR="00DF611E" w:rsidRPr="00B33BD9">
        <w:rPr>
          <w:rFonts w:ascii="Arial" w:hAnsi="Arial" w:cs="Arial"/>
        </w:rPr>
        <w:t>on-dialable IoT/M2M telephone numbers may be based upon SIM card IMSI codes,</w:t>
      </w:r>
      <w:r w:rsidR="00584424">
        <w:rPr>
          <w:rFonts w:ascii="Arial" w:hAnsi="Arial" w:cs="Arial"/>
        </w:rPr>
        <w:t xml:space="preserve"> serial numbers</w:t>
      </w:r>
      <w:r w:rsidR="00DF611E" w:rsidRPr="00B33BD9">
        <w:rPr>
          <w:rFonts w:ascii="Arial" w:hAnsi="Arial" w:cs="Arial"/>
        </w:rPr>
        <w:t xml:space="preserve"> or </w:t>
      </w:r>
      <w:r w:rsidR="00A30B14">
        <w:rPr>
          <w:rFonts w:ascii="Arial" w:hAnsi="Arial" w:cs="Arial"/>
        </w:rPr>
        <w:t xml:space="preserve">upon </w:t>
      </w:r>
      <w:r w:rsidR="00DF611E" w:rsidRPr="00B33BD9">
        <w:rPr>
          <w:rFonts w:ascii="Arial" w:hAnsi="Arial" w:cs="Arial"/>
        </w:rPr>
        <w:t xml:space="preserve">any </w:t>
      </w:r>
      <w:r w:rsidR="00584424">
        <w:rPr>
          <w:rFonts w:ascii="Arial" w:hAnsi="Arial" w:cs="Arial"/>
        </w:rPr>
        <w:t>method</w:t>
      </w:r>
      <w:r w:rsidR="00584424" w:rsidRPr="00B33BD9">
        <w:rPr>
          <w:rFonts w:ascii="Arial" w:hAnsi="Arial" w:cs="Arial"/>
        </w:rPr>
        <w:t xml:space="preserve"> </w:t>
      </w:r>
      <w:r w:rsidR="00DF611E" w:rsidRPr="00B33BD9">
        <w:rPr>
          <w:rFonts w:ascii="Arial" w:hAnsi="Arial" w:cs="Arial"/>
        </w:rPr>
        <w:t xml:space="preserve">that the </w:t>
      </w:r>
      <w:r w:rsidR="00443EC7">
        <w:rPr>
          <w:rFonts w:ascii="Arial" w:hAnsi="Arial" w:cs="Arial"/>
        </w:rPr>
        <w:t>Carrier</w:t>
      </w:r>
      <w:r w:rsidR="00443EC7" w:rsidRPr="00B33BD9">
        <w:rPr>
          <w:rFonts w:ascii="Arial" w:hAnsi="Arial" w:cs="Arial"/>
        </w:rPr>
        <w:t xml:space="preserve"> </w:t>
      </w:r>
      <w:r w:rsidR="00DF611E" w:rsidRPr="00B33BD9">
        <w:rPr>
          <w:rFonts w:ascii="Arial" w:hAnsi="Arial" w:cs="Arial"/>
        </w:rPr>
        <w:t xml:space="preserve">desires.  </w:t>
      </w:r>
      <w:r w:rsidR="00443EC7">
        <w:rPr>
          <w:rFonts w:ascii="Arial" w:hAnsi="Arial" w:cs="Arial"/>
        </w:rPr>
        <w:t>Carriers</w:t>
      </w:r>
      <w:r w:rsidR="00443EC7" w:rsidRPr="00B33BD9">
        <w:rPr>
          <w:rFonts w:ascii="Arial" w:hAnsi="Arial" w:cs="Arial"/>
        </w:rPr>
        <w:t xml:space="preserve"> </w:t>
      </w:r>
      <w:r w:rsidR="00DF611E" w:rsidRPr="00B33BD9">
        <w:rPr>
          <w:rFonts w:ascii="Arial" w:hAnsi="Arial" w:cs="Arial"/>
        </w:rPr>
        <w:t xml:space="preserve">must design and implement their own numbering system, which their network </w:t>
      </w:r>
      <w:r w:rsidR="0048179A">
        <w:rPr>
          <w:rFonts w:ascii="Arial" w:hAnsi="Arial" w:cs="Arial"/>
        </w:rPr>
        <w:t>elements</w:t>
      </w:r>
      <w:r w:rsidR="00DF611E" w:rsidRPr="00B33BD9">
        <w:rPr>
          <w:rFonts w:ascii="Arial" w:hAnsi="Arial" w:cs="Arial"/>
        </w:rPr>
        <w:t xml:space="preserve"> and </w:t>
      </w:r>
      <w:r w:rsidR="00CA06C3" w:rsidRPr="00AA5299">
        <w:rPr>
          <w:rFonts w:ascii="Arial" w:hAnsi="Arial" w:cs="Arial"/>
        </w:rPr>
        <w:t>support</w:t>
      </w:r>
      <w:r w:rsidR="00DF611E" w:rsidRPr="00B33BD9">
        <w:rPr>
          <w:rFonts w:ascii="Arial" w:hAnsi="Arial" w:cs="Arial"/>
        </w:rPr>
        <w:t xml:space="preserve"> systems must accommodate.  </w:t>
      </w:r>
    </w:p>
    <w:p w14:paraId="1408AE36" w14:textId="147EC5E5" w:rsidR="003B5912" w:rsidRPr="00B33BD9" w:rsidRDefault="003B5912" w:rsidP="001351F2">
      <w:pPr>
        <w:rPr>
          <w:rFonts w:ascii="Arial" w:hAnsi="Arial" w:cs="Arial"/>
        </w:rPr>
      </w:pPr>
      <w:r>
        <w:rPr>
          <w:rFonts w:ascii="Arial" w:hAnsi="Arial" w:cs="Arial"/>
        </w:rPr>
        <w:t xml:space="preserve">The quantity of available numbers depends on the number of digits in the addressing scheme.  </w:t>
      </w:r>
      <w:r w:rsidR="00755EEE">
        <w:rPr>
          <w:rFonts w:ascii="Arial" w:hAnsi="Arial" w:cs="Arial"/>
        </w:rPr>
        <w:t xml:space="preserve">A </w:t>
      </w:r>
      <w:r>
        <w:rPr>
          <w:rFonts w:ascii="Arial" w:hAnsi="Arial" w:cs="Arial"/>
        </w:rPr>
        <w:t>Carrier</w:t>
      </w:r>
      <w:r w:rsidR="00755EEE">
        <w:rPr>
          <w:rFonts w:ascii="Arial" w:hAnsi="Arial" w:cs="Arial"/>
        </w:rPr>
        <w:t xml:space="preserve"> </w:t>
      </w:r>
      <w:r>
        <w:rPr>
          <w:rFonts w:ascii="Arial" w:hAnsi="Arial" w:cs="Arial"/>
        </w:rPr>
        <w:t>could conceivably create a billion numbers</w:t>
      </w:r>
      <w:r w:rsidR="00755EEE">
        <w:rPr>
          <w:rFonts w:ascii="Arial" w:hAnsi="Arial" w:cs="Arial"/>
        </w:rPr>
        <w:t xml:space="preserve"> </w:t>
      </w:r>
      <w:r w:rsidR="00755EEE">
        <w:rPr>
          <w:rFonts w:ascii="Arial" w:hAnsi="Arial" w:cs="Arial"/>
        </w:rPr>
        <w:t>for its own use</w:t>
      </w:r>
      <w:r>
        <w:rPr>
          <w:rFonts w:ascii="Arial" w:hAnsi="Arial" w:cs="Arial"/>
        </w:rPr>
        <w:t xml:space="preserve"> </w:t>
      </w:r>
      <w:r>
        <w:rPr>
          <w:rFonts w:ascii="Arial" w:hAnsi="Arial" w:cs="Arial"/>
        </w:rPr>
        <w:t xml:space="preserve">using IMSIs. </w:t>
      </w:r>
    </w:p>
    <w:p w14:paraId="2C1008AA" w14:textId="6B387950" w:rsidR="003B5912" w:rsidRDefault="003B5912" w:rsidP="001351F2">
      <w:pPr>
        <w:rPr>
          <w:rFonts w:ascii="Arial" w:hAnsi="Arial" w:cs="Arial"/>
        </w:rPr>
      </w:pPr>
      <w:r>
        <w:rPr>
          <w:rFonts w:ascii="Arial" w:hAnsi="Arial" w:cs="Arial"/>
        </w:rPr>
        <w:t>As with Option 2, Option 3 is easily applied for devices that are always service</w:t>
      </w:r>
      <w:r w:rsidR="000C6BC4">
        <w:rPr>
          <w:rFonts w:ascii="Arial" w:hAnsi="Arial" w:cs="Arial"/>
        </w:rPr>
        <w:t>d</w:t>
      </w:r>
      <w:r>
        <w:rPr>
          <w:rFonts w:ascii="Arial" w:hAnsi="Arial" w:cs="Arial"/>
        </w:rPr>
        <w:t xml:space="preserve"> by a single </w:t>
      </w:r>
      <w:r w:rsidR="000C6BC4">
        <w:rPr>
          <w:rFonts w:ascii="Arial" w:hAnsi="Arial" w:cs="Arial"/>
        </w:rPr>
        <w:t xml:space="preserve">Carrier </w:t>
      </w:r>
      <w:r>
        <w:rPr>
          <w:rFonts w:ascii="Arial" w:hAnsi="Arial" w:cs="Arial"/>
        </w:rPr>
        <w:t xml:space="preserve">and have no reason to communicate with another </w:t>
      </w:r>
      <w:r w:rsidR="000C6BC4">
        <w:rPr>
          <w:rFonts w:ascii="Arial" w:hAnsi="Arial" w:cs="Arial"/>
        </w:rPr>
        <w:t xml:space="preserve">Carrier’s </w:t>
      </w:r>
      <w:r>
        <w:rPr>
          <w:rFonts w:ascii="Arial" w:hAnsi="Arial" w:cs="Arial"/>
        </w:rPr>
        <w:t xml:space="preserve">devices or devices with geographic numbers.  </w:t>
      </w:r>
      <w:r w:rsidR="00F175EE">
        <w:rPr>
          <w:rFonts w:ascii="Arial" w:hAnsi="Arial" w:cs="Arial"/>
        </w:rPr>
        <w:t>If</w:t>
      </w:r>
      <w:r>
        <w:rPr>
          <w:rFonts w:ascii="Arial" w:hAnsi="Arial" w:cs="Arial"/>
        </w:rPr>
        <w:t xml:space="preserve"> the application may </w:t>
      </w:r>
      <w:r w:rsidRPr="00EE33BE">
        <w:rPr>
          <w:rFonts w:ascii="Arial" w:hAnsi="Arial" w:cs="Arial"/>
        </w:rPr>
        <w:t xml:space="preserve">eventually </w:t>
      </w:r>
      <w:r>
        <w:rPr>
          <w:rFonts w:ascii="Arial" w:hAnsi="Arial" w:cs="Arial"/>
        </w:rPr>
        <w:t>evolve</w:t>
      </w:r>
      <w:r w:rsidRPr="00EE33BE">
        <w:rPr>
          <w:rFonts w:ascii="Arial" w:hAnsi="Arial" w:cs="Arial"/>
        </w:rPr>
        <w:t xml:space="preserve"> to include </w:t>
      </w:r>
      <w:r w:rsidRPr="00CA7DF9">
        <w:rPr>
          <w:rFonts w:ascii="Arial" w:hAnsi="Arial" w:cs="Arial"/>
        </w:rPr>
        <w:t>an</w:t>
      </w:r>
      <w:r w:rsidR="008A186B" w:rsidRPr="00CA7DF9">
        <w:rPr>
          <w:rFonts w:ascii="Arial" w:hAnsi="Arial" w:cs="Arial"/>
        </w:rPr>
        <w:t>y</w:t>
      </w:r>
      <w:r>
        <w:rPr>
          <w:rFonts w:ascii="Arial" w:hAnsi="Arial" w:cs="Arial"/>
        </w:rPr>
        <w:t xml:space="preserve"> of these requirements, then </w:t>
      </w:r>
      <w:r w:rsidR="000C6BC4">
        <w:rPr>
          <w:rFonts w:ascii="Arial" w:hAnsi="Arial" w:cs="Arial"/>
        </w:rPr>
        <w:t xml:space="preserve">Carriers </w:t>
      </w:r>
      <w:r>
        <w:rPr>
          <w:rFonts w:ascii="Arial" w:hAnsi="Arial" w:cs="Arial"/>
        </w:rPr>
        <w:t>will view Option 3 as less desirable.</w:t>
      </w:r>
    </w:p>
    <w:p w14:paraId="7E291A53" w14:textId="79E220DA" w:rsidR="00803F94" w:rsidRDefault="00C048C3" w:rsidP="001351F2">
      <w:pPr>
        <w:rPr>
          <w:rFonts w:ascii="Arial" w:hAnsi="Arial" w:cs="Arial"/>
        </w:rPr>
      </w:pPr>
      <w:r>
        <w:rPr>
          <w:rFonts w:ascii="Arial" w:hAnsi="Arial" w:cs="Arial"/>
        </w:rPr>
        <w:t>When</w:t>
      </w:r>
      <w:r w:rsidR="00774F63">
        <w:rPr>
          <w:rFonts w:ascii="Arial" w:hAnsi="Arial" w:cs="Arial"/>
        </w:rPr>
        <w:t xml:space="preserve"> Carriers implement alternative numbering schemes</w:t>
      </w:r>
      <w:r w:rsidR="00131EE0">
        <w:rPr>
          <w:rFonts w:ascii="Arial" w:hAnsi="Arial" w:cs="Arial"/>
        </w:rPr>
        <w:t xml:space="preserve"> </w:t>
      </w:r>
      <w:r w:rsidR="00131EE0">
        <w:rPr>
          <w:rFonts w:ascii="Arial" w:hAnsi="Arial" w:cs="Arial"/>
        </w:rPr>
        <w:t>(e.g.</w:t>
      </w:r>
      <w:r w:rsidR="008465C8">
        <w:rPr>
          <w:rFonts w:ascii="Arial" w:hAnsi="Arial" w:cs="Arial"/>
        </w:rPr>
        <w:t>,</w:t>
      </w:r>
      <w:r w:rsidR="00131EE0">
        <w:rPr>
          <w:rFonts w:ascii="Arial" w:hAnsi="Arial" w:cs="Arial"/>
        </w:rPr>
        <w:t xml:space="preserve"> IMSI-based)</w:t>
      </w:r>
      <w:r w:rsidR="00774F63">
        <w:rPr>
          <w:rFonts w:ascii="Arial" w:hAnsi="Arial" w:cs="Arial"/>
        </w:rPr>
        <w:t xml:space="preserve">, </w:t>
      </w:r>
      <w:r w:rsidR="00774F63">
        <w:rPr>
          <w:rFonts w:ascii="Arial" w:hAnsi="Arial" w:cs="Arial"/>
        </w:rPr>
        <w:t xml:space="preserve">they </w:t>
      </w:r>
      <w:r w:rsidR="00774F63">
        <w:rPr>
          <w:rFonts w:ascii="Arial" w:hAnsi="Arial" w:cs="Arial"/>
        </w:rPr>
        <w:t>are responsible to ensure</w:t>
      </w:r>
      <w:r w:rsidR="00774F63">
        <w:rPr>
          <w:rFonts w:ascii="Arial" w:hAnsi="Arial" w:cs="Arial"/>
        </w:rPr>
        <w:t xml:space="preserve"> </w:t>
      </w:r>
      <w:r w:rsidR="00DA6EA8">
        <w:rPr>
          <w:rFonts w:ascii="Arial" w:hAnsi="Arial" w:cs="Arial"/>
        </w:rPr>
        <w:t xml:space="preserve">that </w:t>
      </w:r>
      <w:r w:rsidR="00DA6EA8">
        <w:rPr>
          <w:rFonts w:ascii="Arial" w:hAnsi="Arial" w:cs="Arial"/>
        </w:rPr>
        <w:t xml:space="preserve">there are </w:t>
      </w:r>
      <w:r w:rsidR="008D64D3">
        <w:rPr>
          <w:rFonts w:ascii="Arial" w:hAnsi="Arial" w:cs="Arial"/>
        </w:rPr>
        <w:t>no</w:t>
      </w:r>
      <w:r w:rsidR="00774F63">
        <w:rPr>
          <w:rFonts w:ascii="Arial" w:hAnsi="Arial" w:cs="Arial"/>
        </w:rPr>
        <w:t xml:space="preserve"> conflicts</w:t>
      </w:r>
      <w:r w:rsidR="00131EE0">
        <w:rPr>
          <w:rFonts w:ascii="Arial" w:hAnsi="Arial" w:cs="Arial"/>
        </w:rPr>
        <w:t xml:space="preserve"> with </w:t>
      </w:r>
      <w:r w:rsidR="00131EE0">
        <w:rPr>
          <w:rFonts w:ascii="Arial" w:hAnsi="Arial" w:cs="Arial"/>
        </w:rPr>
        <w:t>NANP numbering</w:t>
      </w:r>
      <w:r w:rsidR="00131EE0">
        <w:rPr>
          <w:rFonts w:ascii="Arial" w:hAnsi="Arial" w:cs="Arial"/>
        </w:rPr>
        <w:t xml:space="preserve"> resources</w:t>
      </w:r>
      <w:r w:rsidR="00131EE0">
        <w:rPr>
          <w:rFonts w:ascii="Arial" w:hAnsi="Arial" w:cs="Arial"/>
        </w:rPr>
        <w:t>.</w:t>
      </w:r>
    </w:p>
    <w:p w14:paraId="09E3E7AE" w14:textId="77777777" w:rsidR="00C37F21" w:rsidRPr="00C37F21" w:rsidRDefault="003B5912" w:rsidP="001351F2">
      <w:pPr>
        <w:pStyle w:val="Heading1"/>
        <w:numPr>
          <w:ilvl w:val="1"/>
          <w:numId w:val="44"/>
        </w:numPr>
        <w:rPr>
          <w:rFonts w:ascii="Arial" w:hAnsi="Arial"/>
          <w:sz w:val="24"/>
          <w:szCs w:val="24"/>
        </w:rPr>
      </w:pPr>
      <w:r>
        <w:rPr>
          <w:rFonts w:ascii="Arial" w:hAnsi="Arial" w:cs="Arial"/>
        </w:rPr>
        <w:t xml:space="preserve"> </w:t>
      </w:r>
      <w:bookmarkStart w:id="45" w:name="_Toc156387042"/>
      <w:bookmarkStart w:id="46" w:name="_Toc162946398"/>
      <w:r>
        <w:rPr>
          <w:rFonts w:ascii="Arial" w:hAnsi="Arial"/>
          <w:sz w:val="24"/>
          <w:szCs w:val="24"/>
        </w:rPr>
        <w:t>Option 4: P</w:t>
      </w:r>
      <w:r w:rsidR="00B5126D">
        <w:rPr>
          <w:rFonts w:ascii="Arial" w:hAnsi="Arial"/>
          <w:sz w:val="24"/>
          <w:szCs w:val="24"/>
        </w:rPr>
        <w:t>artition NPA 600</w:t>
      </w:r>
      <w:bookmarkEnd w:id="45"/>
      <w:bookmarkEnd w:id="46"/>
    </w:p>
    <w:p w14:paraId="073BA5B4" w14:textId="6FA1BA2D" w:rsidR="00E82532" w:rsidRPr="00A97F16" w:rsidRDefault="003867A7" w:rsidP="001351F2">
      <w:pPr>
        <w:rPr>
          <w:rFonts w:ascii="Arial" w:hAnsi="Arial" w:cs="Arial"/>
        </w:rPr>
      </w:pPr>
      <w:r>
        <w:br/>
      </w:r>
      <w:r w:rsidR="00B41BA4">
        <w:rPr>
          <w:rFonts w:ascii="Arial" w:hAnsi="Arial" w:cs="Arial"/>
        </w:rPr>
        <w:t xml:space="preserve">Option 4 </w:t>
      </w:r>
      <w:r w:rsidR="00C1467A">
        <w:rPr>
          <w:rFonts w:ascii="Arial" w:hAnsi="Arial" w:cs="Arial"/>
        </w:rPr>
        <w:t>is to re-purpose</w:t>
      </w:r>
      <w:r w:rsidR="00B41BA4">
        <w:rPr>
          <w:rFonts w:ascii="Arial" w:hAnsi="Arial" w:cs="Arial"/>
        </w:rPr>
        <w:t xml:space="preserve"> most of the </w:t>
      </w:r>
      <w:r w:rsidR="00AC5D7E">
        <w:rPr>
          <w:rFonts w:ascii="Arial" w:hAnsi="Arial" w:cs="Arial"/>
        </w:rPr>
        <w:t xml:space="preserve">unused </w:t>
      </w:r>
      <w:r w:rsidR="00FC1673">
        <w:rPr>
          <w:rFonts w:ascii="Arial" w:hAnsi="Arial" w:cs="Arial"/>
        </w:rPr>
        <w:t>NXX</w:t>
      </w:r>
      <w:r w:rsidR="00DF0CCD">
        <w:rPr>
          <w:rFonts w:ascii="Arial" w:hAnsi="Arial" w:cs="Arial"/>
        </w:rPr>
        <w:t>s</w:t>
      </w:r>
      <w:r w:rsidR="00FC1673">
        <w:rPr>
          <w:rFonts w:ascii="Arial" w:hAnsi="Arial" w:cs="Arial"/>
        </w:rPr>
        <w:t xml:space="preserve"> </w:t>
      </w:r>
      <w:r w:rsidR="00B41BA4">
        <w:rPr>
          <w:rFonts w:ascii="Arial" w:hAnsi="Arial" w:cs="Arial"/>
        </w:rPr>
        <w:t xml:space="preserve">in NPA 600 as non-geographic </w:t>
      </w:r>
      <w:r w:rsidR="006F06B9">
        <w:rPr>
          <w:rFonts w:ascii="Arial" w:hAnsi="Arial" w:cs="Arial"/>
        </w:rPr>
        <w:t>NXXs</w:t>
      </w:r>
      <w:r w:rsidR="00B41BA4">
        <w:rPr>
          <w:rFonts w:ascii="Arial" w:hAnsi="Arial" w:cs="Arial"/>
        </w:rPr>
        <w:t>.</w:t>
      </w:r>
      <w:r w:rsidR="00AC5D7E">
        <w:rPr>
          <w:rFonts w:ascii="Arial" w:hAnsi="Arial" w:cs="Arial"/>
        </w:rPr>
        <w:t xml:space="preserve">  </w:t>
      </w:r>
      <w:r w:rsidR="00E82532">
        <w:rPr>
          <w:rFonts w:ascii="Arial" w:hAnsi="Arial" w:cs="Arial"/>
        </w:rPr>
        <w:t>NPA 600 is in</w:t>
      </w:r>
      <w:r w:rsidR="007141B7">
        <w:rPr>
          <w:rFonts w:ascii="Arial" w:hAnsi="Arial" w:cs="Arial"/>
        </w:rPr>
        <w:t xml:space="preserve"> </w:t>
      </w:r>
      <w:r w:rsidR="00E82532">
        <w:rPr>
          <w:rFonts w:ascii="Arial" w:hAnsi="Arial" w:cs="Arial"/>
        </w:rPr>
        <w:t>service today as a Service Access Code (SAC)</w:t>
      </w:r>
      <w:r w:rsidR="003366A0">
        <w:rPr>
          <w:rFonts w:ascii="Arial" w:hAnsi="Arial" w:cs="Arial"/>
        </w:rPr>
        <w:t xml:space="preserve"> in accordance with</w:t>
      </w:r>
      <w:r w:rsidR="00BC7D56">
        <w:rPr>
          <w:rFonts w:ascii="Arial" w:hAnsi="Arial" w:cs="Arial"/>
        </w:rPr>
        <w:t xml:space="preserve"> the </w:t>
      </w:r>
      <w:r w:rsidR="00BC7D56" w:rsidRPr="00700165">
        <w:rPr>
          <w:rFonts w:ascii="Arial" w:hAnsi="Arial" w:cs="Arial"/>
          <w:i/>
          <w:iCs/>
        </w:rPr>
        <w:t>Canadian NPA 600 NXX Code Assignment Guideline</w:t>
      </w:r>
      <w:r w:rsidR="00E82532">
        <w:rPr>
          <w:rFonts w:ascii="Arial" w:hAnsi="Arial" w:cs="Arial"/>
        </w:rPr>
        <w:t>.</w:t>
      </w:r>
      <w:r w:rsidR="00E82532">
        <w:rPr>
          <w:rStyle w:val="FootnoteReference"/>
          <w:rFonts w:ascii="Arial" w:hAnsi="Arial" w:cs="Arial"/>
        </w:rPr>
        <w:footnoteReference w:id="18"/>
      </w:r>
      <w:r w:rsidR="00E82532">
        <w:rPr>
          <w:rFonts w:ascii="Arial" w:hAnsi="Arial" w:cs="Arial"/>
        </w:rPr>
        <w:t xml:space="preserve">  </w:t>
      </w:r>
      <w:r w:rsidR="00E82532" w:rsidRPr="00A97F16">
        <w:rPr>
          <w:rFonts w:ascii="Arial" w:hAnsi="Arial" w:cs="Arial"/>
        </w:rPr>
        <w:t xml:space="preserve">NXX Codes in NPA 600 may be assigned to </w:t>
      </w:r>
      <w:r w:rsidR="00794BE9">
        <w:rPr>
          <w:rFonts w:ascii="Arial" w:hAnsi="Arial" w:cs="Arial"/>
        </w:rPr>
        <w:t>Carriers</w:t>
      </w:r>
      <w:r w:rsidR="00794BE9" w:rsidRPr="00A97F16">
        <w:rPr>
          <w:rFonts w:ascii="Arial" w:hAnsi="Arial" w:cs="Arial"/>
        </w:rPr>
        <w:t xml:space="preserve"> </w:t>
      </w:r>
      <w:r w:rsidR="00E82532" w:rsidRPr="00A97F16">
        <w:rPr>
          <w:rFonts w:ascii="Arial" w:hAnsi="Arial" w:cs="Arial"/>
        </w:rPr>
        <w:lastRenderedPageBreak/>
        <w:t xml:space="preserve">for the provision of </w:t>
      </w:r>
      <w:r w:rsidR="00494C83">
        <w:rPr>
          <w:rFonts w:ascii="Arial" w:hAnsi="Arial" w:cs="Arial"/>
        </w:rPr>
        <w:t>n</w:t>
      </w:r>
      <w:r w:rsidR="00E82532" w:rsidRPr="00A97F16">
        <w:rPr>
          <w:rFonts w:ascii="Arial" w:hAnsi="Arial" w:cs="Arial"/>
        </w:rPr>
        <w:t>on-</w:t>
      </w:r>
      <w:r w:rsidR="00494C83">
        <w:rPr>
          <w:rFonts w:ascii="Arial" w:hAnsi="Arial" w:cs="Arial"/>
        </w:rPr>
        <w:t>g</w:t>
      </w:r>
      <w:r w:rsidR="00E82532" w:rsidRPr="00A97F16">
        <w:rPr>
          <w:rFonts w:ascii="Arial" w:hAnsi="Arial" w:cs="Arial"/>
        </w:rPr>
        <w:t xml:space="preserve">eographic </w:t>
      </w:r>
      <w:r w:rsidR="00494C83">
        <w:rPr>
          <w:rFonts w:ascii="Arial" w:hAnsi="Arial" w:cs="Arial"/>
        </w:rPr>
        <w:t>s</w:t>
      </w:r>
      <w:r w:rsidR="00E82532" w:rsidRPr="00A97F16">
        <w:rPr>
          <w:rFonts w:ascii="Arial" w:hAnsi="Arial" w:cs="Arial"/>
        </w:rPr>
        <w:t>ervices</w:t>
      </w:r>
      <w:r w:rsidR="007141B7">
        <w:rPr>
          <w:rFonts w:ascii="Arial" w:hAnsi="Arial" w:cs="Arial"/>
        </w:rPr>
        <w:t>,</w:t>
      </w:r>
      <w:r w:rsidR="00E82532">
        <w:rPr>
          <w:rFonts w:ascii="Arial" w:hAnsi="Arial" w:cs="Arial"/>
        </w:rPr>
        <w:t xml:space="preserve"> i.e.,</w:t>
      </w:r>
      <w:r w:rsidR="00E82532" w:rsidRPr="00A97F16">
        <w:rPr>
          <w:rFonts w:ascii="Arial" w:hAnsi="Arial" w:cs="Arial"/>
        </w:rPr>
        <w:t xml:space="preserve"> </w:t>
      </w:r>
      <w:r w:rsidR="00494C83">
        <w:rPr>
          <w:rFonts w:ascii="Arial" w:hAnsi="Arial" w:cs="Arial"/>
        </w:rPr>
        <w:t xml:space="preserve">TNs in </w:t>
      </w:r>
      <w:r w:rsidR="00E82532" w:rsidRPr="00A97F16">
        <w:rPr>
          <w:rFonts w:ascii="Arial" w:hAnsi="Arial" w:cs="Arial"/>
        </w:rPr>
        <w:t xml:space="preserve">NPA 600 are </w:t>
      </w:r>
      <w:r w:rsidR="00494C83">
        <w:rPr>
          <w:rFonts w:ascii="Arial" w:hAnsi="Arial" w:cs="Arial"/>
        </w:rPr>
        <w:t>assignable anywhere</w:t>
      </w:r>
      <w:r w:rsidR="00E82532" w:rsidRPr="00A97F16">
        <w:rPr>
          <w:rFonts w:ascii="Arial" w:hAnsi="Arial" w:cs="Arial"/>
        </w:rPr>
        <w:t xml:space="preserve"> </w:t>
      </w:r>
      <w:r w:rsidR="00AC3AC6">
        <w:rPr>
          <w:rFonts w:ascii="Arial" w:hAnsi="Arial" w:cs="Arial"/>
        </w:rPr>
        <w:t xml:space="preserve">in </w:t>
      </w:r>
      <w:r w:rsidR="00E82532" w:rsidRPr="00A97F16">
        <w:rPr>
          <w:rFonts w:ascii="Arial" w:hAnsi="Arial" w:cs="Arial"/>
        </w:rPr>
        <w:t xml:space="preserve">Canada. </w:t>
      </w:r>
    </w:p>
    <w:p w14:paraId="1650934E" w14:textId="77777777" w:rsidR="00E82532" w:rsidRPr="00A97F16" w:rsidRDefault="00E82532" w:rsidP="001351F2">
      <w:pPr>
        <w:rPr>
          <w:rFonts w:ascii="Arial" w:hAnsi="Arial" w:cs="Arial"/>
        </w:rPr>
      </w:pPr>
      <w:r w:rsidRPr="00A97F16">
        <w:rPr>
          <w:rFonts w:ascii="Arial" w:hAnsi="Arial" w:cs="Arial"/>
        </w:rPr>
        <w:t>Non-</w:t>
      </w:r>
      <w:r w:rsidR="00494C83">
        <w:rPr>
          <w:rFonts w:ascii="Arial" w:hAnsi="Arial" w:cs="Arial"/>
        </w:rPr>
        <w:t>g</w:t>
      </w:r>
      <w:r w:rsidRPr="00A97F16">
        <w:rPr>
          <w:rFonts w:ascii="Arial" w:hAnsi="Arial" w:cs="Arial"/>
        </w:rPr>
        <w:t xml:space="preserve">eographic </w:t>
      </w:r>
      <w:r w:rsidR="00CB70F4">
        <w:rPr>
          <w:rFonts w:ascii="Arial" w:hAnsi="Arial" w:cs="Arial"/>
        </w:rPr>
        <w:t>s</w:t>
      </w:r>
      <w:r w:rsidRPr="00A97F16">
        <w:rPr>
          <w:rFonts w:ascii="Arial" w:hAnsi="Arial" w:cs="Arial"/>
        </w:rPr>
        <w:t xml:space="preserve">ervices are </w:t>
      </w:r>
      <w:r>
        <w:rPr>
          <w:rFonts w:ascii="Arial" w:hAnsi="Arial" w:cs="Arial"/>
        </w:rPr>
        <w:t xml:space="preserve">defined in the </w:t>
      </w:r>
      <w:r w:rsidRPr="00700165">
        <w:rPr>
          <w:rFonts w:ascii="Arial" w:hAnsi="Arial" w:cs="Arial"/>
          <w:i/>
          <w:iCs/>
        </w:rPr>
        <w:t>Canadian NPA 600 NXX Code Assignment Guideline</w:t>
      </w:r>
      <w:r>
        <w:rPr>
          <w:rFonts w:ascii="Arial" w:hAnsi="Arial" w:cs="Arial"/>
        </w:rPr>
        <w:t xml:space="preserve"> as services that:</w:t>
      </w:r>
    </w:p>
    <w:p w14:paraId="2C2FD18F" w14:textId="77777777" w:rsidR="00E82532" w:rsidRPr="00A97F16" w:rsidRDefault="00E82532" w:rsidP="001351F2">
      <w:pPr>
        <w:ind w:left="720"/>
        <w:rPr>
          <w:rFonts w:ascii="Arial" w:hAnsi="Arial" w:cs="Arial"/>
        </w:rPr>
      </w:pPr>
      <w:r w:rsidRPr="00A97F16">
        <w:rPr>
          <w:rFonts w:ascii="Arial" w:hAnsi="Arial" w:cs="Arial"/>
        </w:rPr>
        <w:t xml:space="preserve">a) are provided by Canadian </w:t>
      </w:r>
      <w:r w:rsidR="00297515">
        <w:rPr>
          <w:rFonts w:ascii="Arial" w:hAnsi="Arial" w:cs="Arial"/>
        </w:rPr>
        <w:t>[Carriers]</w:t>
      </w:r>
      <w:r w:rsidRPr="00A97F16">
        <w:rPr>
          <w:rFonts w:ascii="Arial" w:hAnsi="Arial" w:cs="Arial"/>
        </w:rPr>
        <w:t>,</w:t>
      </w:r>
    </w:p>
    <w:p w14:paraId="41871398" w14:textId="77777777" w:rsidR="00E82532" w:rsidRPr="00A97F16" w:rsidRDefault="00E82532" w:rsidP="001351F2">
      <w:pPr>
        <w:ind w:left="720"/>
        <w:rPr>
          <w:rFonts w:ascii="Arial" w:hAnsi="Arial" w:cs="Arial"/>
        </w:rPr>
      </w:pPr>
      <w:r w:rsidRPr="00A97F16">
        <w:rPr>
          <w:rFonts w:ascii="Arial" w:hAnsi="Arial" w:cs="Arial"/>
        </w:rPr>
        <w:t>b) are made available to customers located in Canada,</w:t>
      </w:r>
    </w:p>
    <w:p w14:paraId="76079458" w14:textId="77777777" w:rsidR="00E82532" w:rsidRPr="00A97F16" w:rsidRDefault="00E82532" w:rsidP="001351F2">
      <w:pPr>
        <w:ind w:left="720"/>
        <w:rPr>
          <w:rFonts w:ascii="Arial" w:hAnsi="Arial" w:cs="Arial"/>
        </w:rPr>
      </w:pPr>
      <w:r w:rsidRPr="00A97F16">
        <w:rPr>
          <w:rFonts w:ascii="Arial" w:hAnsi="Arial" w:cs="Arial"/>
        </w:rPr>
        <w:t>c) use telephone numbers in NPA 600 NXX Codes,</w:t>
      </w:r>
    </w:p>
    <w:p w14:paraId="1BD2E3EA" w14:textId="77777777" w:rsidR="00E82532" w:rsidRPr="00A97F16" w:rsidRDefault="00E82532" w:rsidP="001351F2">
      <w:pPr>
        <w:ind w:left="720"/>
        <w:rPr>
          <w:rFonts w:ascii="Arial" w:hAnsi="Arial" w:cs="Arial"/>
        </w:rPr>
      </w:pPr>
      <w:r w:rsidRPr="00A97F16">
        <w:rPr>
          <w:rFonts w:ascii="Arial" w:hAnsi="Arial" w:cs="Arial"/>
        </w:rPr>
        <w:t xml:space="preserve">d) are accessible from public networks that have arranged to route calls to the NPA 600 NXX numbers used for the </w:t>
      </w:r>
      <w:r w:rsidR="00CB70F4">
        <w:rPr>
          <w:rFonts w:ascii="Arial" w:hAnsi="Arial" w:cs="Arial"/>
        </w:rPr>
        <w:t>n</w:t>
      </w:r>
      <w:r w:rsidRPr="00A97F16">
        <w:rPr>
          <w:rFonts w:ascii="Arial" w:hAnsi="Arial" w:cs="Arial"/>
        </w:rPr>
        <w:t>on-</w:t>
      </w:r>
      <w:r w:rsidR="00CB70F4">
        <w:rPr>
          <w:rFonts w:ascii="Arial" w:hAnsi="Arial" w:cs="Arial"/>
        </w:rPr>
        <w:t>g</w:t>
      </w:r>
      <w:r w:rsidRPr="00A97F16">
        <w:rPr>
          <w:rFonts w:ascii="Arial" w:hAnsi="Arial" w:cs="Arial"/>
        </w:rPr>
        <w:t xml:space="preserve">eographic </w:t>
      </w:r>
      <w:r w:rsidR="00CB70F4">
        <w:rPr>
          <w:rFonts w:ascii="Arial" w:hAnsi="Arial" w:cs="Arial"/>
        </w:rPr>
        <w:t>s</w:t>
      </w:r>
      <w:r w:rsidRPr="00A97F16">
        <w:rPr>
          <w:rFonts w:ascii="Arial" w:hAnsi="Arial" w:cs="Arial"/>
        </w:rPr>
        <w:t>ervices, and</w:t>
      </w:r>
    </w:p>
    <w:p w14:paraId="047E49E0" w14:textId="77777777" w:rsidR="00E82532" w:rsidRDefault="00E82532" w:rsidP="001351F2">
      <w:pPr>
        <w:ind w:left="720"/>
        <w:rPr>
          <w:rFonts w:ascii="Arial" w:hAnsi="Arial" w:cs="Arial"/>
        </w:rPr>
      </w:pPr>
      <w:r w:rsidRPr="00A97F16">
        <w:rPr>
          <w:rFonts w:ascii="Arial" w:hAnsi="Arial" w:cs="Arial"/>
        </w:rPr>
        <w:t>e)</w:t>
      </w:r>
      <w:r w:rsidR="00CB70F4">
        <w:rPr>
          <w:rFonts w:ascii="Arial" w:hAnsi="Arial" w:cs="Arial"/>
        </w:rPr>
        <w:t xml:space="preserve"> </w:t>
      </w:r>
      <w:r w:rsidRPr="00A97F16">
        <w:rPr>
          <w:rFonts w:ascii="Arial" w:hAnsi="Arial" w:cs="Arial"/>
        </w:rPr>
        <w:t>are approved by the CRTC, where the CRTC determines that such approval is necessary.</w:t>
      </w:r>
    </w:p>
    <w:p w14:paraId="7BE4BCE3" w14:textId="77777777" w:rsidR="00E82532" w:rsidRDefault="00E82532" w:rsidP="001351F2">
      <w:pPr>
        <w:rPr>
          <w:rFonts w:ascii="Arial" w:hAnsi="Arial" w:cs="Arial"/>
        </w:rPr>
      </w:pPr>
      <w:r>
        <w:rPr>
          <w:rFonts w:ascii="Arial" w:hAnsi="Arial" w:cs="Arial"/>
        </w:rPr>
        <w:t xml:space="preserve">NPA 600 currently has 16 NXXs assigned </w:t>
      </w:r>
      <w:r w:rsidR="00CB70F4">
        <w:rPr>
          <w:rFonts w:ascii="Arial" w:hAnsi="Arial" w:cs="Arial"/>
        </w:rPr>
        <w:t>(</w:t>
      </w:r>
      <w:r>
        <w:rPr>
          <w:rFonts w:ascii="Arial" w:hAnsi="Arial" w:cs="Arial"/>
        </w:rPr>
        <w:t xml:space="preserve">to </w:t>
      </w:r>
      <w:r w:rsidR="00CB70F4">
        <w:rPr>
          <w:rFonts w:ascii="Arial" w:hAnsi="Arial" w:cs="Arial"/>
        </w:rPr>
        <w:t xml:space="preserve">six different </w:t>
      </w:r>
      <w:r w:rsidR="00297515">
        <w:rPr>
          <w:rFonts w:ascii="Arial" w:hAnsi="Arial" w:cs="Arial"/>
        </w:rPr>
        <w:t>Carriers</w:t>
      </w:r>
      <w:r w:rsidR="00CB70F4">
        <w:rPr>
          <w:rFonts w:ascii="Arial" w:hAnsi="Arial" w:cs="Arial"/>
        </w:rPr>
        <w:t>)</w:t>
      </w:r>
      <w:r>
        <w:rPr>
          <w:rStyle w:val="FootnoteReference"/>
          <w:rFonts w:ascii="Arial" w:hAnsi="Arial" w:cs="Arial"/>
        </w:rPr>
        <w:footnoteReference w:id="19"/>
      </w:r>
      <w:r>
        <w:rPr>
          <w:rFonts w:ascii="Arial" w:hAnsi="Arial" w:cs="Arial"/>
        </w:rPr>
        <w:t xml:space="preserve"> out of a possible total of 798 available NXXs.</w:t>
      </w:r>
      <w:r>
        <w:rPr>
          <w:rStyle w:val="FootnoteReference"/>
          <w:rFonts w:ascii="Arial" w:hAnsi="Arial" w:cs="Arial"/>
        </w:rPr>
        <w:footnoteReference w:id="20"/>
      </w:r>
      <w:r>
        <w:rPr>
          <w:rFonts w:ascii="Arial" w:hAnsi="Arial" w:cs="Arial"/>
        </w:rPr>
        <w:t xml:space="preserve">  </w:t>
      </w:r>
      <w:r w:rsidR="00B41BA4">
        <w:rPr>
          <w:rFonts w:ascii="Arial" w:hAnsi="Arial" w:cs="Arial"/>
        </w:rPr>
        <w:t>Option 4</w:t>
      </w:r>
      <w:r w:rsidR="006D1D18">
        <w:rPr>
          <w:rFonts w:ascii="Arial" w:hAnsi="Arial" w:cs="Arial"/>
        </w:rPr>
        <w:t xml:space="preserve"> contemplates reserving 14 additional </w:t>
      </w:r>
      <w:r w:rsidR="006F06B9">
        <w:rPr>
          <w:rFonts w:ascii="Arial" w:hAnsi="Arial" w:cs="Arial"/>
        </w:rPr>
        <w:t xml:space="preserve">NXXs </w:t>
      </w:r>
      <w:r w:rsidR="006D1D18">
        <w:rPr>
          <w:rFonts w:ascii="Arial" w:hAnsi="Arial" w:cs="Arial"/>
        </w:rPr>
        <w:t>for future use for SAC services</w:t>
      </w:r>
      <w:r w:rsidR="007141B7">
        <w:rPr>
          <w:rFonts w:ascii="Arial" w:hAnsi="Arial" w:cs="Arial"/>
        </w:rPr>
        <w:t xml:space="preserve"> and making the remaining 768 NXXs available for </w:t>
      </w:r>
      <w:r w:rsidR="00B41BA4">
        <w:rPr>
          <w:rFonts w:ascii="Arial" w:hAnsi="Arial" w:cs="Arial"/>
        </w:rPr>
        <w:t>IoT</w:t>
      </w:r>
      <w:r w:rsidR="006D1D18">
        <w:rPr>
          <w:rFonts w:ascii="Arial" w:hAnsi="Arial" w:cs="Arial"/>
        </w:rPr>
        <w:t>.</w:t>
      </w:r>
      <w:r>
        <w:rPr>
          <w:rStyle w:val="FootnoteReference"/>
          <w:rFonts w:ascii="Arial" w:hAnsi="Arial" w:cs="Arial"/>
        </w:rPr>
        <w:footnoteReference w:id="21"/>
      </w:r>
      <w:r w:rsidR="0061581B">
        <w:rPr>
          <w:rFonts w:ascii="Arial" w:hAnsi="Arial" w:cs="Arial"/>
        </w:rPr>
        <w:t xml:space="preserve"> </w:t>
      </w:r>
    </w:p>
    <w:p w14:paraId="112F383E" w14:textId="77777777" w:rsidR="00E82532" w:rsidRDefault="00E82532" w:rsidP="001351F2">
      <w:pPr>
        <w:rPr>
          <w:rFonts w:ascii="Arial" w:hAnsi="Arial" w:cs="Arial"/>
        </w:rPr>
      </w:pPr>
      <w:r>
        <w:rPr>
          <w:rFonts w:ascii="Arial" w:hAnsi="Arial" w:cs="Arial"/>
        </w:rPr>
        <w:t>Given the limited</w:t>
      </w:r>
      <w:r w:rsidR="00B41BA4">
        <w:rPr>
          <w:rFonts w:ascii="Arial" w:hAnsi="Arial" w:cs="Arial"/>
        </w:rPr>
        <w:t xml:space="preserve"> forecasted</w:t>
      </w:r>
      <w:r>
        <w:rPr>
          <w:rFonts w:ascii="Arial" w:hAnsi="Arial" w:cs="Arial"/>
        </w:rPr>
        <w:t xml:space="preserve"> demand for NPA 600 SACs under the current guidelines, and the relatively large number of unassigned NPA 600 NXXs, then </w:t>
      </w:r>
      <w:r w:rsidR="00B41BA4">
        <w:rPr>
          <w:rFonts w:ascii="Arial" w:hAnsi="Arial" w:cs="Arial"/>
        </w:rPr>
        <w:t>Option 4 would make al</w:t>
      </w:r>
      <w:r>
        <w:rPr>
          <w:rFonts w:ascii="Arial" w:hAnsi="Arial" w:cs="Arial"/>
        </w:rPr>
        <w:t>most an entire NPA</w:t>
      </w:r>
      <w:r w:rsidR="006F55F1">
        <w:rPr>
          <w:rFonts w:ascii="Arial" w:hAnsi="Arial" w:cs="Arial"/>
        </w:rPr>
        <w:t xml:space="preserve"> (96%)</w:t>
      </w:r>
      <w:r>
        <w:rPr>
          <w:rFonts w:ascii="Arial" w:hAnsi="Arial" w:cs="Arial"/>
        </w:rPr>
        <w:t xml:space="preserve"> available for use</w:t>
      </w:r>
      <w:r w:rsidR="00B41BA4">
        <w:rPr>
          <w:rFonts w:ascii="Arial" w:hAnsi="Arial" w:cs="Arial"/>
        </w:rPr>
        <w:t xml:space="preserve"> by IoT devices</w:t>
      </w:r>
      <w:r>
        <w:rPr>
          <w:rFonts w:ascii="Arial" w:hAnsi="Arial" w:cs="Arial"/>
        </w:rPr>
        <w:t xml:space="preserve"> in a manner identical to that permitted for </w:t>
      </w:r>
      <w:r w:rsidRPr="00AB7BCC">
        <w:rPr>
          <w:rFonts w:ascii="Arial" w:hAnsi="Arial" w:cs="Arial"/>
          <w:i/>
          <w:iCs/>
        </w:rPr>
        <w:t>Canadian Non-Geographic Code Assignment Guideline</w:t>
      </w:r>
      <w:r>
        <w:rPr>
          <w:rStyle w:val="FootnoteReference"/>
          <w:rFonts w:ascii="Arial" w:hAnsi="Arial" w:cs="Arial"/>
          <w:i/>
          <w:iCs/>
        </w:rPr>
        <w:footnoteReference w:id="22"/>
      </w:r>
      <w:r w:rsidRPr="00D242E4">
        <w:rPr>
          <w:rFonts w:ascii="Arial" w:hAnsi="Arial" w:cs="Arial"/>
        </w:rPr>
        <w:t>.</w:t>
      </w:r>
      <w:r>
        <w:rPr>
          <w:rFonts w:ascii="Arial" w:hAnsi="Arial" w:cs="Arial"/>
        </w:rPr>
        <w:t xml:space="preserve">  </w:t>
      </w:r>
    </w:p>
    <w:p w14:paraId="5B8D6C07" w14:textId="77777777" w:rsidR="00E82532" w:rsidRDefault="00B41BA4" w:rsidP="001351F2">
      <w:pPr>
        <w:rPr>
          <w:rFonts w:ascii="Arial" w:hAnsi="Arial" w:cs="Arial"/>
        </w:rPr>
      </w:pPr>
      <w:r>
        <w:rPr>
          <w:rFonts w:ascii="Arial" w:hAnsi="Arial" w:cs="Arial"/>
        </w:rPr>
        <w:t>R</w:t>
      </w:r>
      <w:r w:rsidR="00E82532">
        <w:rPr>
          <w:rFonts w:ascii="Arial" w:hAnsi="Arial" w:cs="Arial"/>
        </w:rPr>
        <w:t xml:space="preserve">evisions to the applicable guidelines and changes to CNA processes to enable a partitioned portion of </w:t>
      </w:r>
      <w:r w:rsidR="006F55F1">
        <w:rPr>
          <w:rFonts w:ascii="Arial" w:hAnsi="Arial" w:cs="Arial"/>
        </w:rPr>
        <w:t xml:space="preserve">NPA </w:t>
      </w:r>
      <w:r w:rsidR="00E82532">
        <w:rPr>
          <w:rFonts w:ascii="Arial" w:hAnsi="Arial" w:cs="Arial"/>
        </w:rPr>
        <w:t>600</w:t>
      </w:r>
      <w:r w:rsidR="006F55F1">
        <w:rPr>
          <w:rFonts w:ascii="Arial" w:hAnsi="Arial" w:cs="Arial"/>
        </w:rPr>
        <w:t xml:space="preserve"> </w:t>
      </w:r>
      <w:r w:rsidR="00E82532">
        <w:rPr>
          <w:rFonts w:ascii="Arial" w:hAnsi="Arial" w:cs="Arial"/>
        </w:rPr>
        <w:t xml:space="preserve">to be assigned pursuant to the </w:t>
      </w:r>
      <w:r w:rsidR="00E82532" w:rsidRPr="00AB7BCC">
        <w:rPr>
          <w:rFonts w:ascii="Arial" w:hAnsi="Arial" w:cs="Arial"/>
          <w:i/>
          <w:iCs/>
        </w:rPr>
        <w:t>Canadian Non-Geographic Code Assignment Guideline</w:t>
      </w:r>
      <w:r w:rsidR="00E82532" w:rsidRPr="00A85A96">
        <w:rPr>
          <w:rFonts w:ascii="Arial" w:hAnsi="Arial" w:cs="Arial"/>
        </w:rPr>
        <w:t xml:space="preserve"> </w:t>
      </w:r>
      <w:r w:rsidR="00CB70F4" w:rsidRPr="00A85A96">
        <w:rPr>
          <w:rFonts w:ascii="Arial" w:hAnsi="Arial" w:cs="Arial"/>
        </w:rPr>
        <w:t>c</w:t>
      </w:r>
      <w:r w:rsidR="00CB70F4">
        <w:rPr>
          <w:rFonts w:ascii="Arial" w:hAnsi="Arial" w:cs="Arial"/>
        </w:rPr>
        <w:t>ould</w:t>
      </w:r>
      <w:r w:rsidR="00CB70F4" w:rsidRPr="00A85A96">
        <w:rPr>
          <w:rFonts w:ascii="Arial" w:hAnsi="Arial" w:cs="Arial"/>
        </w:rPr>
        <w:t xml:space="preserve"> </w:t>
      </w:r>
      <w:r w:rsidR="00E82532" w:rsidRPr="00A85A96">
        <w:rPr>
          <w:rFonts w:ascii="Arial" w:hAnsi="Arial" w:cs="Arial"/>
        </w:rPr>
        <w:t xml:space="preserve">be implemented within </w:t>
      </w:r>
      <w:r w:rsidR="001B451B">
        <w:rPr>
          <w:rFonts w:ascii="Arial" w:hAnsi="Arial" w:cs="Arial"/>
        </w:rPr>
        <w:t xml:space="preserve">12 </w:t>
      </w:r>
      <w:r w:rsidR="00E82532" w:rsidRPr="00A85A96">
        <w:rPr>
          <w:rFonts w:ascii="Arial" w:hAnsi="Arial" w:cs="Arial"/>
        </w:rPr>
        <w:t>month</w:t>
      </w:r>
      <w:r w:rsidR="00CB70F4">
        <w:rPr>
          <w:rFonts w:ascii="Arial" w:hAnsi="Arial" w:cs="Arial"/>
        </w:rPr>
        <w:t xml:space="preserve">s of </w:t>
      </w:r>
      <w:r w:rsidR="00E82532" w:rsidRPr="00A85A96">
        <w:rPr>
          <w:rFonts w:ascii="Arial" w:hAnsi="Arial" w:cs="Arial"/>
        </w:rPr>
        <w:t>the release of a Commission</w:t>
      </w:r>
      <w:r w:rsidR="00E82532">
        <w:rPr>
          <w:rFonts w:ascii="Arial" w:hAnsi="Arial" w:cs="Arial"/>
        </w:rPr>
        <w:t xml:space="preserve"> determination to partition NPA</w:t>
      </w:r>
      <w:r w:rsidR="00443E39">
        <w:rPr>
          <w:rFonts w:ascii="Arial" w:hAnsi="Arial" w:cs="Arial"/>
        </w:rPr>
        <w:t xml:space="preserve"> </w:t>
      </w:r>
      <w:r w:rsidR="00E82532">
        <w:rPr>
          <w:rFonts w:ascii="Arial" w:hAnsi="Arial" w:cs="Arial"/>
        </w:rPr>
        <w:t xml:space="preserve">600.  </w:t>
      </w:r>
    </w:p>
    <w:p w14:paraId="5B7629A6" w14:textId="77777777" w:rsidR="00B5126D" w:rsidRPr="00B5126D" w:rsidRDefault="00B41BA4" w:rsidP="001351F2">
      <w:pPr>
        <w:pStyle w:val="Heading1"/>
        <w:numPr>
          <w:ilvl w:val="1"/>
          <w:numId w:val="44"/>
        </w:numPr>
        <w:rPr>
          <w:rFonts w:ascii="Arial" w:hAnsi="Arial"/>
          <w:sz w:val="24"/>
          <w:szCs w:val="24"/>
        </w:rPr>
      </w:pPr>
      <w:bookmarkStart w:id="47" w:name="_Toc156387043"/>
      <w:bookmarkStart w:id="48" w:name="_Toc162946399"/>
      <w:r>
        <w:rPr>
          <w:rFonts w:ascii="Arial" w:hAnsi="Arial"/>
          <w:sz w:val="24"/>
          <w:szCs w:val="24"/>
        </w:rPr>
        <w:t xml:space="preserve">Option 5:  </w:t>
      </w:r>
      <w:r w:rsidR="007E3380">
        <w:rPr>
          <w:rFonts w:ascii="Arial" w:hAnsi="Arial"/>
          <w:sz w:val="24"/>
          <w:szCs w:val="24"/>
        </w:rPr>
        <w:t>Remove N11</w:t>
      </w:r>
      <w:r w:rsidR="00F554D3">
        <w:rPr>
          <w:rFonts w:ascii="Arial" w:hAnsi="Arial"/>
          <w:sz w:val="24"/>
          <w:szCs w:val="24"/>
        </w:rPr>
        <w:t xml:space="preserve"> and 555</w:t>
      </w:r>
      <w:r>
        <w:rPr>
          <w:rFonts w:ascii="Arial" w:hAnsi="Arial"/>
          <w:sz w:val="24"/>
          <w:szCs w:val="24"/>
        </w:rPr>
        <w:t xml:space="preserve"> </w:t>
      </w:r>
      <w:r w:rsidR="00452AA8">
        <w:rPr>
          <w:rFonts w:ascii="Arial" w:hAnsi="Arial"/>
          <w:sz w:val="24"/>
          <w:szCs w:val="24"/>
        </w:rPr>
        <w:t xml:space="preserve">NXX </w:t>
      </w:r>
      <w:r>
        <w:rPr>
          <w:rFonts w:ascii="Arial" w:hAnsi="Arial"/>
          <w:sz w:val="24"/>
          <w:szCs w:val="24"/>
        </w:rPr>
        <w:t>R</w:t>
      </w:r>
      <w:r w:rsidR="007E3380">
        <w:rPr>
          <w:rFonts w:ascii="Arial" w:hAnsi="Arial"/>
          <w:sz w:val="24"/>
          <w:szCs w:val="24"/>
        </w:rPr>
        <w:t>estriction</w:t>
      </w:r>
      <w:r w:rsidR="001A753B">
        <w:rPr>
          <w:rFonts w:ascii="Arial" w:hAnsi="Arial"/>
          <w:sz w:val="24"/>
          <w:szCs w:val="24"/>
        </w:rPr>
        <w:t>s</w:t>
      </w:r>
      <w:r w:rsidR="00F01EE6">
        <w:rPr>
          <w:rFonts w:ascii="Arial" w:hAnsi="Arial"/>
          <w:sz w:val="24"/>
          <w:szCs w:val="24"/>
        </w:rPr>
        <w:t xml:space="preserve"> in 6YY </w:t>
      </w:r>
      <w:proofErr w:type="gramStart"/>
      <w:r w:rsidR="006F06B9">
        <w:rPr>
          <w:rFonts w:ascii="Arial" w:hAnsi="Arial"/>
          <w:sz w:val="24"/>
          <w:szCs w:val="24"/>
        </w:rPr>
        <w:t>NPAs</w:t>
      </w:r>
      <w:bookmarkEnd w:id="47"/>
      <w:bookmarkEnd w:id="48"/>
      <w:proofErr w:type="gramEnd"/>
      <w:r w:rsidR="006F06B9">
        <w:rPr>
          <w:rFonts w:ascii="Arial" w:hAnsi="Arial"/>
          <w:sz w:val="24"/>
          <w:szCs w:val="24"/>
        </w:rPr>
        <w:t xml:space="preserve"> </w:t>
      </w:r>
    </w:p>
    <w:p w14:paraId="5F28AEBA" w14:textId="55AC3CA9" w:rsidR="00D17EAB" w:rsidRPr="00E93755" w:rsidRDefault="00F01EE6" w:rsidP="001351F2">
      <w:pPr>
        <w:rPr>
          <w:rFonts w:ascii="Arial" w:hAnsi="Arial" w:cs="Arial"/>
        </w:rPr>
      </w:pPr>
      <w:r>
        <w:rPr>
          <w:rFonts w:ascii="Arial" w:hAnsi="Arial" w:cs="Arial"/>
        </w:rPr>
        <w:br/>
      </w:r>
      <w:r w:rsidR="00B41BA4" w:rsidRPr="00E93755">
        <w:rPr>
          <w:rFonts w:ascii="Arial" w:hAnsi="Arial" w:cs="Arial"/>
        </w:rPr>
        <w:t xml:space="preserve">Option 5 </w:t>
      </w:r>
      <w:r w:rsidR="00CB303B">
        <w:rPr>
          <w:rFonts w:ascii="Arial" w:hAnsi="Arial" w:cs="Arial"/>
        </w:rPr>
        <w:t xml:space="preserve">is to make </w:t>
      </w:r>
      <w:r w:rsidR="002B78D9">
        <w:rPr>
          <w:rFonts w:ascii="Arial" w:hAnsi="Arial" w:cs="Arial"/>
        </w:rPr>
        <w:t>eight</w:t>
      </w:r>
      <w:r w:rsidR="00986750">
        <w:rPr>
          <w:rFonts w:ascii="Arial" w:hAnsi="Arial" w:cs="Arial"/>
        </w:rPr>
        <w:t xml:space="preserve"> </w:t>
      </w:r>
      <w:r w:rsidR="006F06B9">
        <w:rPr>
          <w:rFonts w:ascii="Arial" w:hAnsi="Arial" w:cs="Arial"/>
        </w:rPr>
        <w:t>NXXs</w:t>
      </w:r>
      <w:r w:rsidR="0060114B">
        <w:rPr>
          <w:rFonts w:ascii="Arial" w:hAnsi="Arial" w:cs="Arial"/>
        </w:rPr>
        <w:t xml:space="preserve"> </w:t>
      </w:r>
      <w:r w:rsidR="0060114B">
        <w:rPr>
          <w:rFonts w:ascii="Arial" w:hAnsi="Arial" w:cs="Arial"/>
        </w:rPr>
        <w:t xml:space="preserve">(i.e., </w:t>
      </w:r>
      <w:r w:rsidR="0060114B" w:rsidRPr="00244DB3">
        <w:rPr>
          <w:rFonts w:ascii="Arial" w:hAnsi="Arial" w:cs="Arial"/>
          <w:color w:val="000000"/>
        </w:rPr>
        <w:t xml:space="preserve">211, 311, 411, 511, </w:t>
      </w:r>
      <w:r w:rsidR="002B78D9">
        <w:rPr>
          <w:rFonts w:ascii="Arial" w:hAnsi="Arial" w:cs="Arial"/>
          <w:color w:val="000000"/>
        </w:rPr>
        <w:t xml:space="preserve">555, </w:t>
      </w:r>
      <w:r w:rsidR="0060114B" w:rsidRPr="00244DB3">
        <w:rPr>
          <w:rFonts w:ascii="Arial" w:hAnsi="Arial" w:cs="Arial"/>
          <w:color w:val="000000"/>
        </w:rPr>
        <w:t>611, 711 and 811</w:t>
      </w:r>
      <w:r w:rsidR="0060114B">
        <w:rPr>
          <w:rFonts w:ascii="Arial" w:hAnsi="Arial" w:cs="Arial"/>
          <w:color w:val="000000"/>
        </w:rPr>
        <w:t xml:space="preserve"> but not 911)</w:t>
      </w:r>
      <w:r w:rsidR="002B78D9" w:rsidRPr="00F00180">
        <w:rPr>
          <w:rFonts w:ascii="Arial" w:hAnsi="Arial"/>
          <w:color w:val="000000"/>
        </w:rPr>
        <w:t xml:space="preserve"> </w:t>
      </w:r>
      <w:r w:rsidR="00986750">
        <w:rPr>
          <w:rFonts w:ascii="Arial" w:hAnsi="Arial" w:cs="Arial"/>
        </w:rPr>
        <w:t>available</w:t>
      </w:r>
      <w:r w:rsidR="00CB303B">
        <w:rPr>
          <w:rFonts w:ascii="Arial" w:hAnsi="Arial" w:cs="Arial"/>
        </w:rPr>
        <w:t xml:space="preserve"> for</w:t>
      </w:r>
      <w:r w:rsidR="002B78D9">
        <w:rPr>
          <w:rFonts w:ascii="Arial" w:hAnsi="Arial" w:cs="Arial"/>
        </w:rPr>
        <w:t xml:space="preserve"> </w:t>
      </w:r>
      <w:r w:rsidR="002B78D9">
        <w:rPr>
          <w:rFonts w:ascii="Arial" w:hAnsi="Arial" w:cs="Arial"/>
        </w:rPr>
        <w:t xml:space="preserve">assignment within 6YY NPAs.  </w:t>
      </w:r>
    </w:p>
    <w:p w14:paraId="5A494160" w14:textId="2FA1D8B5" w:rsidR="00E63606" w:rsidRDefault="006B465D" w:rsidP="00386515">
      <w:pPr>
        <w:keepNext/>
        <w:keepLines/>
        <w:rPr>
          <w:rFonts w:ascii="Arial" w:hAnsi="Arial" w:cs="Arial"/>
        </w:rPr>
      </w:pPr>
      <w:r>
        <w:rPr>
          <w:rFonts w:ascii="Arial" w:hAnsi="Arial" w:cs="Arial"/>
        </w:rPr>
        <w:lastRenderedPageBreak/>
        <w:t xml:space="preserve">Telecom Decision </w:t>
      </w:r>
      <w:r w:rsidR="008F0F32">
        <w:rPr>
          <w:rFonts w:ascii="Arial" w:hAnsi="Arial" w:cs="Arial"/>
        </w:rPr>
        <w:t xml:space="preserve">CRTC </w:t>
      </w:r>
      <w:r>
        <w:rPr>
          <w:rFonts w:ascii="Arial" w:hAnsi="Arial" w:cs="Arial"/>
        </w:rPr>
        <w:t>2018-51</w:t>
      </w:r>
      <w:r w:rsidR="009178CF">
        <w:rPr>
          <w:rFonts w:ascii="Arial" w:hAnsi="Arial" w:cs="Arial"/>
        </w:rPr>
        <w:t xml:space="preserve"> </w:t>
      </w:r>
      <w:r w:rsidR="009178CF">
        <w:rPr>
          <w:rFonts w:ascii="Arial" w:hAnsi="Arial" w:cs="Arial"/>
        </w:rPr>
        <w:t>states in paragraph 8</w:t>
      </w:r>
      <w:r w:rsidR="00E63606">
        <w:rPr>
          <w:rFonts w:ascii="Arial" w:hAnsi="Arial" w:cs="Arial"/>
        </w:rPr>
        <w:t>:</w:t>
      </w:r>
      <w:r>
        <w:rPr>
          <w:rFonts w:ascii="Arial" w:hAnsi="Arial" w:cs="Arial"/>
        </w:rPr>
        <w:t xml:space="preserve"> </w:t>
      </w:r>
    </w:p>
    <w:p w14:paraId="7B2359BB" w14:textId="6FA63CC3" w:rsidR="00E63606" w:rsidRDefault="00CA6DD5" w:rsidP="00386515">
      <w:pPr>
        <w:keepNext/>
        <w:keepLines/>
        <w:ind w:left="1134" w:right="855"/>
        <w:rPr>
          <w:rFonts w:ascii="Arial" w:hAnsi="Arial" w:cs="Arial"/>
        </w:rPr>
      </w:pPr>
      <w:r w:rsidRPr="00FA17F1">
        <w:rPr>
          <w:rStyle w:val="cf01"/>
          <w:rFonts w:ascii="Arial" w:hAnsi="Arial" w:cs="Arial"/>
          <w:b w:val="0"/>
          <w:i w:val="0"/>
          <w:iCs w:val="0"/>
          <w:sz w:val="22"/>
          <w:szCs w:val="22"/>
        </w:rPr>
        <w:t>Since the rest of the countries</w:t>
      </w:r>
      <w:r w:rsidRPr="00F00180">
        <w:rPr>
          <w:rStyle w:val="cf01"/>
          <w:rFonts w:ascii="Arial" w:hAnsi="Arial"/>
          <w:b w:val="0"/>
          <w:i w:val="0"/>
          <w:sz w:val="22"/>
        </w:rPr>
        <w:t xml:space="preserve"> that </w:t>
      </w:r>
      <w:r w:rsidRPr="00FA17F1">
        <w:rPr>
          <w:rStyle w:val="cf01"/>
          <w:rFonts w:ascii="Arial" w:hAnsi="Arial" w:cs="Arial"/>
          <w:b w:val="0"/>
          <w:i w:val="0"/>
          <w:iCs w:val="0"/>
          <w:sz w:val="22"/>
          <w:szCs w:val="22"/>
        </w:rPr>
        <w:t>are members of the NANP, i.e., the United States and many Caribbean countries, do not use these N11 codes as NXXs</w:t>
      </w:r>
      <w:r w:rsidRPr="00FA17F1">
        <w:rPr>
          <w:rStyle w:val="cf01"/>
          <w:rFonts w:ascii="Arial" w:hAnsi="Arial" w:cs="Arial"/>
          <w:i w:val="0"/>
          <w:iCs w:val="0"/>
          <w:sz w:val="22"/>
          <w:szCs w:val="22"/>
        </w:rPr>
        <w:t>,</w:t>
      </w:r>
      <w:r w:rsidRPr="00FA17F1">
        <w:rPr>
          <w:rStyle w:val="cf11"/>
          <w:rFonts w:ascii="Arial" w:hAnsi="Arial" w:cs="Arial"/>
          <w:i w:val="0"/>
          <w:iCs w:val="0"/>
          <w:sz w:val="22"/>
          <w:szCs w:val="22"/>
        </w:rPr>
        <w:t xml:space="preserve"> it would be unreasonable to request that they modify the database system to accommodate such use by Canadian TSPs only.</w:t>
      </w:r>
      <w:r w:rsidR="00E63606">
        <w:rPr>
          <w:rStyle w:val="cf11"/>
          <w:rFonts w:ascii="Arial" w:hAnsi="Arial" w:cs="Arial"/>
          <w:i w:val="0"/>
          <w:iCs w:val="0"/>
          <w:sz w:val="22"/>
          <w:szCs w:val="22"/>
        </w:rPr>
        <w:t xml:space="preserve"> </w:t>
      </w:r>
      <w:r w:rsidRPr="00FA17F1">
        <w:rPr>
          <w:rStyle w:val="cf11"/>
          <w:rFonts w:ascii="Arial" w:hAnsi="Arial" w:cs="Arial"/>
          <w:i w:val="0"/>
          <w:iCs w:val="0"/>
          <w:sz w:val="22"/>
          <w:szCs w:val="22"/>
        </w:rPr>
        <w:t xml:space="preserve"> Therefore, the Commission considers it</w:t>
      </w:r>
      <w:r w:rsidRPr="00F00180">
        <w:rPr>
          <w:rStyle w:val="cf11"/>
          <w:rFonts w:ascii="Arial" w:hAnsi="Arial"/>
          <w:i w:val="0"/>
          <w:sz w:val="22"/>
        </w:rPr>
        <w:t xml:space="preserve"> appropriate to identify all N11 </w:t>
      </w:r>
      <w:r w:rsidRPr="00FB6FEF">
        <w:rPr>
          <w:rStyle w:val="cf11"/>
          <w:rFonts w:ascii="Arial" w:hAnsi="Arial" w:cs="Arial"/>
          <w:i w:val="0"/>
          <w:iCs w:val="0"/>
          <w:sz w:val="22"/>
          <w:szCs w:val="22"/>
        </w:rPr>
        <w:t>codes</w:t>
      </w:r>
      <w:r w:rsidRPr="00F00180">
        <w:rPr>
          <w:rStyle w:val="cf11"/>
          <w:rFonts w:ascii="Arial" w:hAnsi="Arial"/>
          <w:i w:val="0"/>
          <w:sz w:val="22"/>
        </w:rPr>
        <w:t xml:space="preserve"> as unassignable in the Guideline </w:t>
      </w:r>
      <w:r w:rsidRPr="00FB6FEF">
        <w:rPr>
          <w:rStyle w:val="cf11"/>
          <w:rFonts w:ascii="Arial" w:hAnsi="Arial" w:cs="Arial"/>
          <w:i w:val="0"/>
          <w:iCs w:val="0"/>
          <w:sz w:val="22"/>
          <w:szCs w:val="22"/>
        </w:rPr>
        <w:t>consistent</w:t>
      </w:r>
      <w:r w:rsidRPr="00F00180">
        <w:rPr>
          <w:rStyle w:val="cf11"/>
          <w:rFonts w:ascii="Arial" w:hAnsi="Arial"/>
          <w:i w:val="0"/>
          <w:sz w:val="22"/>
        </w:rPr>
        <w:t xml:space="preserve"> with the </w:t>
      </w:r>
      <w:r w:rsidRPr="00FB6FEF">
        <w:rPr>
          <w:rStyle w:val="cf11"/>
          <w:rFonts w:ascii="Arial" w:hAnsi="Arial" w:cs="Arial"/>
          <w:i w:val="0"/>
          <w:iCs w:val="0"/>
          <w:sz w:val="22"/>
          <w:szCs w:val="22"/>
        </w:rPr>
        <w:t>rest of the NANP</w:t>
      </w:r>
      <w:r w:rsidRPr="00FB6FEF">
        <w:rPr>
          <w:rStyle w:val="cf21"/>
          <w:rFonts w:ascii="Arial" w:hAnsi="Arial" w:cs="Arial"/>
          <w:sz w:val="22"/>
          <w:szCs w:val="22"/>
        </w:rPr>
        <w:t>.</w:t>
      </w:r>
      <w:r w:rsidR="006B465D">
        <w:rPr>
          <w:rFonts w:ascii="Arial" w:hAnsi="Arial" w:cs="Arial"/>
        </w:rPr>
        <w:t xml:space="preserve">  </w:t>
      </w:r>
    </w:p>
    <w:p w14:paraId="1E2AD423" w14:textId="1BF9526E" w:rsidR="002B78D9" w:rsidRDefault="0060114B" w:rsidP="001351F2">
      <w:pPr>
        <w:rPr>
          <w:rFonts w:ascii="Arial" w:hAnsi="Arial" w:cs="Arial"/>
        </w:rPr>
      </w:pPr>
      <w:r>
        <w:rPr>
          <w:rFonts w:ascii="Arial" w:hAnsi="Arial" w:cs="Arial"/>
        </w:rPr>
        <w:t xml:space="preserve">However, </w:t>
      </w:r>
      <w:r>
        <w:rPr>
          <w:rFonts w:ascii="Arial" w:hAnsi="Arial" w:cs="Arial"/>
        </w:rPr>
        <w:t xml:space="preserve">the services associated with these NXX codes have no relevance to non-geographic IoT devices and assigning these codes in non-geographic NXXs would not interfere with geographic </w:t>
      </w:r>
      <w:r w:rsidR="00666276">
        <w:rPr>
          <w:rFonts w:ascii="Arial" w:hAnsi="Arial" w:cs="Arial"/>
        </w:rPr>
        <w:t>555</w:t>
      </w:r>
      <w:r w:rsidR="00666276">
        <w:rPr>
          <w:rStyle w:val="FootnoteReference"/>
          <w:rFonts w:ascii="Arial" w:hAnsi="Arial" w:cs="Arial"/>
        </w:rPr>
        <w:footnoteReference w:id="23"/>
      </w:r>
      <w:r>
        <w:rPr>
          <w:rFonts w:ascii="Arial" w:hAnsi="Arial" w:cs="Arial"/>
        </w:rPr>
        <w:t xml:space="preserve"> or N11 services.  </w:t>
      </w:r>
      <w:proofErr w:type="gramStart"/>
      <w:r>
        <w:rPr>
          <w:rFonts w:ascii="Arial" w:hAnsi="Arial" w:cs="Arial"/>
        </w:rPr>
        <w:t>In light of</w:t>
      </w:r>
      <w:proofErr w:type="gramEnd"/>
      <w:r>
        <w:rPr>
          <w:rFonts w:ascii="Arial" w:hAnsi="Arial" w:cs="Arial"/>
        </w:rPr>
        <w:t xml:space="preserve"> this, </w:t>
      </w:r>
      <w:r w:rsidR="00E760C6">
        <w:rPr>
          <w:rFonts w:ascii="Arial" w:hAnsi="Arial" w:cs="Arial"/>
        </w:rPr>
        <w:t xml:space="preserve">the </w:t>
      </w:r>
      <w:r w:rsidR="002B78D9">
        <w:rPr>
          <w:rFonts w:ascii="Arial" w:hAnsi="Arial" w:cs="Arial"/>
        </w:rPr>
        <w:t xml:space="preserve">assignment </w:t>
      </w:r>
      <w:r w:rsidR="00E760C6">
        <w:rPr>
          <w:rFonts w:ascii="Arial" w:hAnsi="Arial" w:cs="Arial"/>
        </w:rPr>
        <w:t>of these codes</w:t>
      </w:r>
      <w:r w:rsidR="002B78D9">
        <w:rPr>
          <w:rFonts w:ascii="Arial" w:hAnsi="Arial" w:cs="Arial"/>
        </w:rPr>
        <w:t xml:space="preserve"> for IoT </w:t>
      </w:r>
      <w:r w:rsidR="00AF46DA">
        <w:rPr>
          <w:rFonts w:ascii="Arial" w:hAnsi="Arial" w:cs="Arial"/>
        </w:rPr>
        <w:t>devices is</w:t>
      </w:r>
      <w:r w:rsidR="002B78D9">
        <w:rPr>
          <w:rFonts w:ascii="Arial" w:hAnsi="Arial" w:cs="Arial"/>
        </w:rPr>
        <w:t xml:space="preserve"> now permitted in the</w:t>
      </w:r>
      <w:r w:rsidR="00303825">
        <w:rPr>
          <w:rFonts w:ascii="Arial" w:hAnsi="Arial" w:cs="Arial"/>
        </w:rPr>
        <w:t xml:space="preserve"> US</w:t>
      </w:r>
      <w:r w:rsidR="00B1659B">
        <w:rPr>
          <w:rFonts w:ascii="Arial" w:hAnsi="Arial" w:cs="Arial"/>
        </w:rPr>
        <w:t xml:space="preserve"> and </w:t>
      </w:r>
      <w:r w:rsidR="00754AB4">
        <w:rPr>
          <w:rFonts w:ascii="Arial" w:hAnsi="Arial" w:cs="Arial"/>
        </w:rPr>
        <w:t>t</w:t>
      </w:r>
      <w:r w:rsidR="006B465D">
        <w:rPr>
          <w:rFonts w:ascii="Arial" w:hAnsi="Arial" w:cs="Arial"/>
        </w:rPr>
        <w:t>he BIRRDS database has since been modified</w:t>
      </w:r>
      <w:r w:rsidR="002B78D9">
        <w:rPr>
          <w:rFonts w:ascii="Arial" w:hAnsi="Arial" w:cs="Arial"/>
        </w:rPr>
        <w:t xml:space="preserve"> </w:t>
      </w:r>
      <w:r w:rsidR="002B78D9">
        <w:rPr>
          <w:rFonts w:ascii="Arial" w:hAnsi="Arial" w:cs="Arial"/>
        </w:rPr>
        <w:t xml:space="preserve">accordingly.  </w:t>
      </w:r>
    </w:p>
    <w:p w14:paraId="36C40537" w14:textId="3FB6D091" w:rsidR="0088799A" w:rsidRDefault="002B78D9" w:rsidP="001351F2">
      <w:pPr>
        <w:rPr>
          <w:rFonts w:ascii="Arial" w:hAnsi="Arial" w:cs="Arial"/>
        </w:rPr>
      </w:pPr>
      <w:r>
        <w:rPr>
          <w:rFonts w:ascii="Arial" w:hAnsi="Arial" w:cs="Arial"/>
        </w:rPr>
        <w:t xml:space="preserve">If </w:t>
      </w:r>
      <w:r w:rsidR="00B40293">
        <w:rPr>
          <w:rFonts w:ascii="Arial" w:hAnsi="Arial" w:cs="Arial"/>
        </w:rPr>
        <w:t xml:space="preserve">assignment of 555 </w:t>
      </w:r>
      <w:r w:rsidR="00B40293">
        <w:rPr>
          <w:rFonts w:ascii="Arial" w:hAnsi="Arial" w:cs="Arial"/>
        </w:rPr>
        <w:t>and</w:t>
      </w:r>
      <w:r w:rsidR="0060114B">
        <w:rPr>
          <w:rFonts w:ascii="Arial" w:hAnsi="Arial" w:cs="Arial"/>
        </w:rPr>
        <w:t xml:space="preserve"> </w:t>
      </w:r>
      <w:r w:rsidR="0060114B">
        <w:rPr>
          <w:rFonts w:ascii="Arial" w:hAnsi="Arial" w:cs="Arial"/>
        </w:rPr>
        <w:t>seven</w:t>
      </w:r>
      <w:r w:rsidR="00B40293">
        <w:rPr>
          <w:rFonts w:ascii="Arial" w:hAnsi="Arial" w:cs="Arial"/>
        </w:rPr>
        <w:t xml:space="preserve"> </w:t>
      </w:r>
      <w:r w:rsidR="006B465D">
        <w:rPr>
          <w:rFonts w:ascii="Arial" w:hAnsi="Arial" w:cs="Arial"/>
        </w:rPr>
        <w:t xml:space="preserve">N11 </w:t>
      </w:r>
      <w:r w:rsidR="00452AA8">
        <w:rPr>
          <w:rFonts w:ascii="Arial" w:hAnsi="Arial" w:cs="Arial"/>
        </w:rPr>
        <w:t xml:space="preserve">NXX </w:t>
      </w:r>
      <w:r w:rsidR="006B465D">
        <w:rPr>
          <w:rFonts w:ascii="Arial" w:hAnsi="Arial" w:cs="Arial"/>
        </w:rPr>
        <w:t>codes</w:t>
      </w:r>
      <w:r>
        <w:rPr>
          <w:rFonts w:ascii="Arial" w:hAnsi="Arial" w:cs="Arial"/>
        </w:rPr>
        <w:t xml:space="preserve"> were permitted in Canada</w:t>
      </w:r>
      <w:r w:rsidR="00C15602">
        <w:rPr>
          <w:rFonts w:ascii="Arial" w:hAnsi="Arial" w:cs="Arial"/>
          <w:color w:val="000000"/>
        </w:rPr>
        <w:t xml:space="preserve">, </w:t>
      </w:r>
      <w:r w:rsidR="00C15602">
        <w:rPr>
          <w:rFonts w:ascii="Arial" w:hAnsi="Arial" w:cs="Arial"/>
        </w:rPr>
        <w:t>eight incremental NXXs would be made available for assignment in each 6YY NPA</w:t>
      </w:r>
      <w:r w:rsidR="006B465D">
        <w:rPr>
          <w:rFonts w:ascii="Arial" w:hAnsi="Arial" w:cs="Arial"/>
        </w:rPr>
        <w:t xml:space="preserve">.  </w:t>
      </w:r>
      <w:r>
        <w:rPr>
          <w:rFonts w:ascii="Arial" w:hAnsi="Arial" w:cs="Arial"/>
        </w:rPr>
        <w:t>C</w:t>
      </w:r>
      <w:r w:rsidR="00CF5F2D">
        <w:rPr>
          <w:rFonts w:ascii="Arial" w:hAnsi="Arial" w:cs="Arial"/>
        </w:rPr>
        <w:t>onsistency</w:t>
      </w:r>
      <w:r w:rsidR="00737EFA">
        <w:rPr>
          <w:rFonts w:ascii="Arial" w:hAnsi="Arial" w:cs="Arial"/>
        </w:rPr>
        <w:t xml:space="preserve"> with the updated </w:t>
      </w:r>
      <w:r w:rsidR="00A71F83">
        <w:rPr>
          <w:rFonts w:ascii="Arial" w:hAnsi="Arial" w:cs="Arial"/>
        </w:rPr>
        <w:t xml:space="preserve">BIRRDS </w:t>
      </w:r>
      <w:r w:rsidR="00737EFA">
        <w:rPr>
          <w:rFonts w:ascii="Arial" w:hAnsi="Arial" w:cs="Arial"/>
        </w:rPr>
        <w:t>database would</w:t>
      </w:r>
      <w:r>
        <w:rPr>
          <w:rFonts w:ascii="Arial" w:hAnsi="Arial" w:cs="Arial"/>
        </w:rPr>
        <w:t xml:space="preserve"> also</w:t>
      </w:r>
      <w:r w:rsidR="00737EFA">
        <w:rPr>
          <w:rFonts w:ascii="Arial" w:hAnsi="Arial" w:cs="Arial"/>
        </w:rPr>
        <w:t xml:space="preserve"> be achieved.  </w:t>
      </w:r>
    </w:p>
    <w:p w14:paraId="1908DB2F" w14:textId="2706DCDF" w:rsidR="006B465D" w:rsidRDefault="00CB303B" w:rsidP="001351F2">
      <w:pPr>
        <w:rPr>
          <w:rFonts w:ascii="Arial" w:hAnsi="Arial" w:cs="Arial"/>
        </w:rPr>
      </w:pPr>
      <w:r>
        <w:rPr>
          <w:rFonts w:ascii="Arial" w:hAnsi="Arial" w:cs="Arial"/>
        </w:rPr>
        <w:t xml:space="preserve">Option 5 </w:t>
      </w:r>
      <w:r w:rsidR="002B78D9">
        <w:rPr>
          <w:rFonts w:ascii="Arial" w:hAnsi="Arial" w:cs="Arial"/>
        </w:rPr>
        <w:t xml:space="preserve">would require </w:t>
      </w:r>
      <w:r w:rsidR="00C2190E">
        <w:rPr>
          <w:rFonts w:ascii="Arial" w:hAnsi="Arial" w:cs="Arial"/>
        </w:rPr>
        <w:t xml:space="preserve">amendments </w:t>
      </w:r>
      <w:r w:rsidR="00C2190E">
        <w:rPr>
          <w:rFonts w:ascii="Arial" w:hAnsi="Arial" w:cs="Arial"/>
        </w:rPr>
        <w:t>to</w:t>
      </w:r>
      <w:r w:rsidR="00737EFA">
        <w:rPr>
          <w:rFonts w:ascii="Arial" w:hAnsi="Arial" w:cs="Arial"/>
        </w:rPr>
        <w:t xml:space="preserve"> the </w:t>
      </w:r>
      <w:r w:rsidR="00AA001B" w:rsidRPr="00E63606">
        <w:rPr>
          <w:rFonts w:ascii="Arial" w:hAnsi="Arial" w:cs="Arial"/>
          <w:i/>
          <w:iCs/>
        </w:rPr>
        <w:t>Canadian</w:t>
      </w:r>
      <w:r w:rsidR="00AA001B" w:rsidRPr="00F00180">
        <w:rPr>
          <w:rFonts w:ascii="Arial" w:hAnsi="Arial"/>
          <w:i/>
        </w:rPr>
        <w:t xml:space="preserve"> </w:t>
      </w:r>
      <w:r w:rsidR="00737EFA" w:rsidRPr="00F00180">
        <w:rPr>
          <w:rFonts w:ascii="Arial" w:hAnsi="Arial"/>
          <w:i/>
        </w:rPr>
        <w:t xml:space="preserve">Non-Geographic </w:t>
      </w:r>
      <w:r w:rsidR="00AA001B" w:rsidRPr="00E63606">
        <w:rPr>
          <w:rFonts w:ascii="Arial" w:hAnsi="Arial" w:cs="Arial"/>
          <w:i/>
          <w:iCs/>
        </w:rPr>
        <w:t>Code</w:t>
      </w:r>
      <w:r w:rsidR="00AA001B" w:rsidRPr="00F00180">
        <w:rPr>
          <w:rFonts w:ascii="Arial" w:hAnsi="Arial"/>
          <w:i/>
        </w:rPr>
        <w:t xml:space="preserve"> </w:t>
      </w:r>
      <w:r w:rsidR="00737EFA" w:rsidRPr="00F00180">
        <w:rPr>
          <w:rFonts w:ascii="Arial" w:hAnsi="Arial"/>
          <w:i/>
        </w:rPr>
        <w:t>Assignment Guideline</w:t>
      </w:r>
      <w:r w:rsidR="00E63606">
        <w:rPr>
          <w:rFonts w:ascii="Arial" w:hAnsi="Arial" w:cs="Arial"/>
        </w:rPr>
        <w:t>, for which</w:t>
      </w:r>
      <w:r w:rsidR="00AC2DE8">
        <w:rPr>
          <w:rFonts w:ascii="Arial" w:hAnsi="Arial" w:cs="Arial"/>
        </w:rPr>
        <w:t xml:space="preserve"> </w:t>
      </w:r>
      <w:r w:rsidR="00A50E5F">
        <w:rPr>
          <w:rFonts w:ascii="Arial" w:hAnsi="Arial" w:cs="Arial"/>
        </w:rPr>
        <w:t>the</w:t>
      </w:r>
      <w:r w:rsidR="00A50E5F">
        <w:rPr>
          <w:rFonts w:ascii="Arial" w:hAnsi="Arial" w:cs="Arial"/>
        </w:rPr>
        <w:t xml:space="preserve"> </w:t>
      </w:r>
      <w:r w:rsidR="00AC2DE8">
        <w:rPr>
          <w:rFonts w:ascii="Arial" w:hAnsi="Arial" w:cs="Arial"/>
        </w:rPr>
        <w:t>CSCN would recommend new language regarding the reservation of NXX codes.</w:t>
      </w:r>
      <w:r w:rsidR="00B33EF4">
        <w:rPr>
          <w:rFonts w:ascii="Arial" w:hAnsi="Arial" w:cs="Arial"/>
        </w:rPr>
        <w:t xml:space="preserve"> </w:t>
      </w:r>
    </w:p>
    <w:p w14:paraId="03CD6981" w14:textId="385501DB" w:rsidR="00C47606" w:rsidRPr="00AE20BC" w:rsidRDefault="00CB303B" w:rsidP="001351F2">
      <w:pPr>
        <w:pStyle w:val="Heading1"/>
        <w:numPr>
          <w:ilvl w:val="1"/>
          <w:numId w:val="44"/>
        </w:numPr>
        <w:rPr>
          <w:rFonts w:ascii="Arial" w:hAnsi="Arial" w:cs="Arial"/>
          <w:sz w:val="22"/>
          <w:szCs w:val="22"/>
        </w:rPr>
      </w:pPr>
      <w:bookmarkStart w:id="49" w:name="_Toc156387044"/>
      <w:bookmarkStart w:id="50" w:name="_Toc162946400"/>
      <w:r w:rsidRPr="00AE20BC">
        <w:rPr>
          <w:rFonts w:ascii="Arial" w:hAnsi="Arial" w:cs="Arial"/>
          <w:sz w:val="22"/>
          <w:szCs w:val="22"/>
        </w:rPr>
        <w:t xml:space="preserve">Option 6:  </w:t>
      </w:r>
      <w:r w:rsidR="00C47606" w:rsidRPr="00AE20BC">
        <w:rPr>
          <w:rFonts w:ascii="Arial" w:hAnsi="Arial" w:cs="Arial"/>
          <w:sz w:val="22"/>
          <w:szCs w:val="22"/>
        </w:rPr>
        <w:t xml:space="preserve">New IoT/M2M </w:t>
      </w:r>
      <w:r w:rsidR="008E6A03">
        <w:rPr>
          <w:rFonts w:ascii="Arial" w:hAnsi="Arial" w:cs="Arial"/>
          <w:sz w:val="22"/>
          <w:szCs w:val="22"/>
        </w:rPr>
        <w:t>Numbering Resource</w:t>
      </w:r>
      <w:r w:rsidR="008E6A03">
        <w:rPr>
          <w:rFonts w:ascii="Arial" w:hAnsi="Arial" w:cs="Arial"/>
          <w:sz w:val="22"/>
          <w:szCs w:val="22"/>
        </w:rPr>
        <w:t xml:space="preserve"> Standards</w:t>
      </w:r>
      <w:bookmarkEnd w:id="49"/>
      <w:bookmarkEnd w:id="50"/>
    </w:p>
    <w:p w14:paraId="7A551BA7" w14:textId="2285FC2B" w:rsidR="00CB303B" w:rsidRDefault="003867A7" w:rsidP="001351F2">
      <w:pPr>
        <w:rPr>
          <w:rFonts w:ascii="Arial" w:hAnsi="Arial" w:cs="Arial"/>
        </w:rPr>
      </w:pPr>
      <w:r w:rsidRPr="007B4A6F">
        <w:rPr>
          <w:rFonts w:ascii="Arial" w:hAnsi="Arial" w:cs="Arial"/>
        </w:rPr>
        <w:br/>
      </w:r>
      <w:r w:rsidR="00CB303B">
        <w:rPr>
          <w:rFonts w:ascii="Arial" w:hAnsi="Arial" w:cs="Arial"/>
        </w:rPr>
        <w:t xml:space="preserve">Option 6 is to use new IoT/M2M </w:t>
      </w:r>
      <w:r w:rsidR="00F37C44">
        <w:rPr>
          <w:rFonts w:ascii="Arial" w:hAnsi="Arial" w:cs="Arial"/>
        </w:rPr>
        <w:t>numbering resource</w:t>
      </w:r>
      <w:r w:rsidR="00CB303B">
        <w:rPr>
          <w:rFonts w:ascii="Arial" w:hAnsi="Arial" w:cs="Arial"/>
        </w:rPr>
        <w:t xml:space="preserve"> standards for IoT, when they become available.</w:t>
      </w:r>
    </w:p>
    <w:p w14:paraId="2E12D2CD" w14:textId="46254731" w:rsidR="007E3380" w:rsidRDefault="00CB303B" w:rsidP="001351F2">
      <w:pPr>
        <w:rPr>
          <w:rFonts w:ascii="Arial" w:hAnsi="Arial" w:cs="Arial"/>
        </w:rPr>
      </w:pPr>
      <w:r>
        <w:rPr>
          <w:rFonts w:ascii="Arial" w:hAnsi="Arial" w:cs="Arial"/>
        </w:rPr>
        <w:t>New</w:t>
      </w:r>
      <w:r w:rsidR="00C47606" w:rsidRPr="007B4A6F">
        <w:rPr>
          <w:rFonts w:ascii="Arial" w:hAnsi="Arial" w:cs="Arial"/>
        </w:rPr>
        <w:t xml:space="preserve"> standards from Standards Development Organizations (SDOs) such as ITU</w:t>
      </w:r>
      <w:r w:rsidR="00D420A3">
        <w:rPr>
          <w:rFonts w:ascii="Arial" w:hAnsi="Arial" w:cs="Arial"/>
        </w:rPr>
        <w:t>, 3GPP</w:t>
      </w:r>
      <w:r w:rsidR="00C47606" w:rsidRPr="007B4A6F">
        <w:rPr>
          <w:rFonts w:ascii="Arial" w:hAnsi="Arial" w:cs="Arial"/>
        </w:rPr>
        <w:t xml:space="preserve"> or </w:t>
      </w:r>
      <w:r w:rsidR="005A5EDB">
        <w:rPr>
          <w:rFonts w:ascii="Arial" w:hAnsi="Arial" w:cs="Arial"/>
        </w:rPr>
        <w:t xml:space="preserve">guidelines from organizations such as </w:t>
      </w:r>
      <w:r w:rsidR="00C47606" w:rsidRPr="007B4A6F">
        <w:rPr>
          <w:rFonts w:ascii="Arial" w:hAnsi="Arial" w:cs="Arial"/>
        </w:rPr>
        <w:t>GSMA</w:t>
      </w:r>
      <w:r w:rsidR="003B6676">
        <w:rPr>
          <w:rFonts w:ascii="Arial" w:hAnsi="Arial" w:cs="Arial"/>
        </w:rPr>
        <w:t xml:space="preserve"> or IETF</w:t>
      </w:r>
      <w:r w:rsidR="00C47606" w:rsidRPr="007B4A6F">
        <w:rPr>
          <w:rFonts w:ascii="Arial" w:hAnsi="Arial" w:cs="Arial"/>
        </w:rPr>
        <w:t xml:space="preserve"> would accommodate the need for many </w:t>
      </w:r>
      <w:r w:rsidR="00917EFC">
        <w:rPr>
          <w:rFonts w:ascii="Arial" w:hAnsi="Arial" w:cs="Arial"/>
        </w:rPr>
        <w:t>numbering resources</w:t>
      </w:r>
      <w:r w:rsidR="00C47606" w:rsidRPr="008B136D">
        <w:rPr>
          <w:rFonts w:ascii="Arial" w:hAnsi="Arial" w:cs="Arial"/>
        </w:rPr>
        <w:t xml:space="preserve"> for IoT.</w:t>
      </w:r>
      <w:r>
        <w:rPr>
          <w:rStyle w:val="FootnoteReference"/>
          <w:rFonts w:ascii="Arial" w:hAnsi="Arial" w:cs="Arial"/>
        </w:rPr>
        <w:footnoteReference w:id="24"/>
      </w:r>
      <w:r w:rsidR="00C47606" w:rsidRPr="008B136D">
        <w:rPr>
          <w:rFonts w:ascii="Arial" w:hAnsi="Arial" w:cs="Arial"/>
        </w:rPr>
        <w:t xml:space="preserve">  However, the standards would not be realized nor implemented in network infrastructure and IT systems for several years.  </w:t>
      </w:r>
    </w:p>
    <w:p w14:paraId="232DC323" w14:textId="53E8C88F" w:rsidR="00381B97" w:rsidRDefault="00381B97" w:rsidP="001351F2">
      <w:pPr>
        <w:rPr>
          <w:rFonts w:ascii="Arial" w:hAnsi="Arial" w:cs="Arial"/>
        </w:rPr>
      </w:pPr>
      <w:r>
        <w:rPr>
          <w:rFonts w:ascii="Arial" w:hAnsi="Arial" w:cs="Arial"/>
        </w:rPr>
        <w:t>The North American Numbering Council (NANC) is establishing a new "Internet of Things” numbering usage working group</w:t>
      </w:r>
      <w:r w:rsidR="00CB70F4">
        <w:rPr>
          <w:rStyle w:val="FootnoteReference"/>
          <w:rFonts w:ascii="Arial" w:hAnsi="Arial" w:cs="Arial"/>
        </w:rPr>
        <w:footnoteReference w:id="25"/>
      </w:r>
      <w:r>
        <w:rPr>
          <w:rFonts w:ascii="Arial" w:hAnsi="Arial" w:cs="Arial"/>
        </w:rPr>
        <w:t xml:space="preserve"> to investigate why and how IoT devices use NANP numbering resources.  The working group will consider whether there may be preferable alternatives to using NANP numbering resources for IoT device needs.  This may present an opportunity to track the development of IoT </w:t>
      </w:r>
      <w:r w:rsidR="00917EFC">
        <w:rPr>
          <w:rFonts w:ascii="Arial" w:hAnsi="Arial" w:cs="Arial"/>
        </w:rPr>
        <w:t>numbering resource</w:t>
      </w:r>
      <w:r>
        <w:rPr>
          <w:rFonts w:ascii="Arial" w:hAnsi="Arial" w:cs="Arial"/>
        </w:rPr>
        <w:t xml:space="preserve"> standards development. </w:t>
      </w:r>
    </w:p>
    <w:p w14:paraId="2DA3E630" w14:textId="1172D5FF" w:rsidR="007E3380" w:rsidRDefault="00381B97" w:rsidP="001351F2">
      <w:pPr>
        <w:rPr>
          <w:rFonts w:ascii="Arial" w:hAnsi="Arial" w:cs="Arial"/>
        </w:rPr>
      </w:pPr>
      <w:r>
        <w:rPr>
          <w:rFonts w:ascii="Arial" w:hAnsi="Arial" w:cs="Arial"/>
        </w:rPr>
        <w:lastRenderedPageBreak/>
        <w:t xml:space="preserve">In any event, </w:t>
      </w:r>
      <w:r w:rsidRPr="00381B97">
        <w:rPr>
          <w:rFonts w:ascii="Arial" w:hAnsi="Arial" w:cs="Arial"/>
        </w:rPr>
        <w:t>t</w:t>
      </w:r>
      <w:r w:rsidR="007E3380" w:rsidRPr="00381B97">
        <w:rPr>
          <w:rFonts w:ascii="Arial" w:hAnsi="Arial" w:cs="Arial"/>
        </w:rPr>
        <w:t xml:space="preserve">he </w:t>
      </w:r>
      <w:r w:rsidRPr="00381B97">
        <w:rPr>
          <w:rFonts w:ascii="Arial" w:hAnsi="Arial" w:cs="Arial"/>
        </w:rPr>
        <w:t>CSCN</w:t>
      </w:r>
      <w:r w:rsidR="007E3380" w:rsidRPr="00381B97">
        <w:rPr>
          <w:rFonts w:ascii="Arial" w:hAnsi="Arial" w:cs="Arial"/>
        </w:rPr>
        <w:t xml:space="preserve"> estimates that it would take </w:t>
      </w:r>
      <w:r w:rsidR="000459E6" w:rsidRPr="00C637A6">
        <w:rPr>
          <w:rFonts w:ascii="Arial" w:hAnsi="Arial" w:cs="Arial"/>
        </w:rPr>
        <w:t>2 to 5</w:t>
      </w:r>
      <w:r w:rsidR="00313B76" w:rsidRPr="00C637A6">
        <w:rPr>
          <w:rFonts w:ascii="Arial" w:hAnsi="Arial" w:cs="Arial"/>
        </w:rPr>
        <w:t xml:space="preserve"> </w:t>
      </w:r>
      <w:r w:rsidR="007E3380" w:rsidRPr="00C637A6">
        <w:rPr>
          <w:rFonts w:ascii="Arial" w:hAnsi="Arial" w:cs="Arial"/>
        </w:rPr>
        <w:t>years</w:t>
      </w:r>
      <w:r w:rsidR="007E3380">
        <w:rPr>
          <w:rFonts w:ascii="Arial" w:hAnsi="Arial" w:cs="Arial"/>
        </w:rPr>
        <w:t xml:space="preserve"> for SDOs to develop a new numbering scheme</w:t>
      </w:r>
      <w:r w:rsidR="00CB303B">
        <w:rPr>
          <w:rFonts w:ascii="Arial" w:hAnsi="Arial" w:cs="Arial"/>
        </w:rPr>
        <w:t>.  The commercial availability of network equipment supporting these standards could be several years</w:t>
      </w:r>
      <w:r w:rsidR="007123E5">
        <w:rPr>
          <w:rFonts w:ascii="Arial" w:hAnsi="Arial" w:cs="Arial"/>
        </w:rPr>
        <w:t xml:space="preserve"> later</w:t>
      </w:r>
      <w:r w:rsidR="005C0F82">
        <w:rPr>
          <w:rFonts w:ascii="Arial" w:hAnsi="Arial" w:cs="Arial"/>
        </w:rPr>
        <w:t>, which m</w:t>
      </w:r>
      <w:r w:rsidR="007123E5">
        <w:rPr>
          <w:rFonts w:ascii="Arial" w:hAnsi="Arial" w:cs="Arial"/>
        </w:rPr>
        <w:t>a</w:t>
      </w:r>
      <w:r w:rsidR="005C0F82">
        <w:rPr>
          <w:rFonts w:ascii="Arial" w:hAnsi="Arial" w:cs="Arial"/>
        </w:rPr>
        <w:t>y be</w:t>
      </w:r>
      <w:r w:rsidR="00CB303B">
        <w:rPr>
          <w:rFonts w:ascii="Arial" w:hAnsi="Arial" w:cs="Arial"/>
        </w:rPr>
        <w:t xml:space="preserve"> </w:t>
      </w:r>
      <w:r w:rsidR="005C0F82">
        <w:rPr>
          <w:rFonts w:ascii="Arial" w:hAnsi="Arial" w:cs="Arial"/>
        </w:rPr>
        <w:t xml:space="preserve">beyond the current </w:t>
      </w:r>
      <w:r w:rsidR="007123E5">
        <w:rPr>
          <w:rFonts w:ascii="Arial" w:hAnsi="Arial" w:cs="Arial"/>
        </w:rPr>
        <w:t xml:space="preserve">Canadian </w:t>
      </w:r>
      <w:r w:rsidR="005C0F82">
        <w:rPr>
          <w:rFonts w:ascii="Arial" w:hAnsi="Arial" w:cs="Arial"/>
        </w:rPr>
        <w:t>projected exhaust</w:t>
      </w:r>
      <w:r w:rsidR="00CB303B">
        <w:rPr>
          <w:rFonts w:ascii="Arial" w:hAnsi="Arial" w:cs="Arial"/>
        </w:rPr>
        <w:t>.</w:t>
      </w:r>
      <w:r w:rsidR="007E3380">
        <w:rPr>
          <w:rFonts w:ascii="Arial" w:hAnsi="Arial" w:cs="Arial"/>
        </w:rPr>
        <w:t xml:space="preserve"> </w:t>
      </w:r>
    </w:p>
    <w:p w14:paraId="03C29C6D" w14:textId="77777777" w:rsidR="0048668B" w:rsidRDefault="000C1FBD" w:rsidP="001351F2">
      <w:pPr>
        <w:pStyle w:val="Heading1"/>
        <w:numPr>
          <w:ilvl w:val="1"/>
          <w:numId w:val="44"/>
        </w:numPr>
        <w:rPr>
          <w:rFonts w:ascii="Arial" w:hAnsi="Arial"/>
          <w:sz w:val="24"/>
          <w:szCs w:val="24"/>
        </w:rPr>
      </w:pPr>
      <w:bookmarkStart w:id="51" w:name="_Toc156387045"/>
      <w:bookmarkStart w:id="52" w:name="_Toc162946401"/>
      <w:r>
        <w:rPr>
          <w:rFonts w:ascii="Arial" w:hAnsi="Arial"/>
          <w:sz w:val="24"/>
          <w:szCs w:val="24"/>
        </w:rPr>
        <w:t xml:space="preserve">Option 7:  </w:t>
      </w:r>
      <w:r w:rsidR="00566E16">
        <w:rPr>
          <w:rFonts w:ascii="Arial" w:hAnsi="Arial"/>
          <w:sz w:val="24"/>
          <w:szCs w:val="24"/>
        </w:rPr>
        <w:t xml:space="preserve">Extended 6YY </w:t>
      </w:r>
      <w:r w:rsidR="001E1FD3">
        <w:rPr>
          <w:rFonts w:ascii="Arial" w:hAnsi="Arial"/>
          <w:sz w:val="24"/>
          <w:szCs w:val="24"/>
        </w:rPr>
        <w:t>NPA</w:t>
      </w:r>
      <w:r w:rsidR="004275C6">
        <w:rPr>
          <w:rFonts w:ascii="Arial" w:hAnsi="Arial"/>
          <w:sz w:val="24"/>
          <w:szCs w:val="24"/>
        </w:rPr>
        <w:t>s</w:t>
      </w:r>
      <w:bookmarkEnd w:id="51"/>
      <w:bookmarkEnd w:id="52"/>
    </w:p>
    <w:p w14:paraId="5BF7C508" w14:textId="77777777" w:rsidR="0048668B" w:rsidRDefault="0048668B" w:rsidP="001351F2"/>
    <w:p w14:paraId="4B4EB007" w14:textId="67E85E5C" w:rsidR="009D51A0" w:rsidRDefault="009D51A0" w:rsidP="001351F2">
      <w:pPr>
        <w:rPr>
          <w:rFonts w:ascii="Arial" w:hAnsi="Arial" w:cs="Arial"/>
        </w:rPr>
      </w:pPr>
      <w:r>
        <w:rPr>
          <w:rFonts w:ascii="Arial" w:hAnsi="Arial" w:cs="Arial"/>
        </w:rPr>
        <w:t>Option 7 makes more TN</w:t>
      </w:r>
      <w:r w:rsidR="000E6DF9">
        <w:rPr>
          <w:rFonts w:ascii="Arial" w:hAnsi="Arial" w:cs="Arial"/>
        </w:rPr>
        <w:t>s</w:t>
      </w:r>
      <w:r>
        <w:rPr>
          <w:rFonts w:ascii="Arial" w:hAnsi="Arial" w:cs="Arial"/>
        </w:rPr>
        <w:t xml:space="preserve"> available in </w:t>
      </w:r>
      <w:r w:rsidR="00751608">
        <w:rPr>
          <w:rFonts w:ascii="Arial" w:hAnsi="Arial" w:cs="Arial"/>
        </w:rPr>
        <w:t xml:space="preserve">unassigned </w:t>
      </w:r>
      <w:r w:rsidRPr="00244DB3">
        <w:rPr>
          <w:rFonts w:ascii="Arial" w:hAnsi="Arial" w:cs="Arial"/>
        </w:rPr>
        <w:t xml:space="preserve">6YY </w:t>
      </w:r>
      <w:r w:rsidR="00C644C3">
        <w:rPr>
          <w:rFonts w:ascii="Arial" w:hAnsi="Arial" w:cs="Arial"/>
        </w:rPr>
        <w:t xml:space="preserve">NPAs </w:t>
      </w:r>
      <w:r>
        <w:rPr>
          <w:rFonts w:ascii="Arial" w:hAnsi="Arial" w:cs="Arial"/>
        </w:rPr>
        <w:t xml:space="preserve">by extending the number of digits from </w:t>
      </w:r>
      <w:r w:rsidR="001571D0">
        <w:rPr>
          <w:rFonts w:ascii="Arial" w:hAnsi="Arial" w:cs="Arial"/>
        </w:rPr>
        <w:t>1+</w:t>
      </w:r>
      <w:r w:rsidRPr="006E33C3">
        <w:rPr>
          <w:rFonts w:ascii="Arial" w:hAnsi="Arial" w:cs="Arial"/>
        </w:rPr>
        <w:t>10</w:t>
      </w:r>
      <w:r>
        <w:rPr>
          <w:rFonts w:ascii="Arial" w:hAnsi="Arial" w:cs="Arial"/>
        </w:rPr>
        <w:t xml:space="preserve"> to </w:t>
      </w:r>
      <w:r w:rsidR="001571D0">
        <w:rPr>
          <w:rFonts w:ascii="Arial" w:hAnsi="Arial" w:cs="Arial"/>
        </w:rPr>
        <w:t>1+</w:t>
      </w:r>
      <w:r w:rsidRPr="006E33C3">
        <w:rPr>
          <w:rFonts w:ascii="Arial" w:hAnsi="Arial" w:cs="Arial"/>
        </w:rPr>
        <w:t>12</w:t>
      </w:r>
      <w:r>
        <w:rPr>
          <w:rFonts w:ascii="Arial" w:hAnsi="Arial" w:cs="Arial"/>
        </w:rPr>
        <w:t xml:space="preserve"> (Option 7A) or </w:t>
      </w:r>
      <w:r w:rsidR="001571D0">
        <w:rPr>
          <w:rFonts w:ascii="Arial" w:hAnsi="Arial" w:cs="Arial"/>
        </w:rPr>
        <w:t>1+14</w:t>
      </w:r>
      <w:r>
        <w:rPr>
          <w:rFonts w:ascii="Arial" w:hAnsi="Arial" w:cs="Arial"/>
        </w:rPr>
        <w:t xml:space="preserve"> (Option 7B).  </w:t>
      </w:r>
      <w:r w:rsidR="00D53B25" w:rsidRPr="00244DB3">
        <w:rPr>
          <w:rFonts w:ascii="Arial" w:hAnsi="Arial" w:cs="Arial"/>
        </w:rPr>
        <w:t>Several European countries have adopted a form of this method</w:t>
      </w:r>
      <w:r w:rsidR="00D53B25">
        <w:rPr>
          <w:rFonts w:ascii="Arial" w:hAnsi="Arial" w:cs="Arial"/>
        </w:rPr>
        <w:t xml:space="preserve"> for IoT/M2M services</w:t>
      </w:r>
      <w:r w:rsidR="00D53B25" w:rsidRPr="00244DB3">
        <w:rPr>
          <w:rFonts w:ascii="Arial" w:hAnsi="Arial" w:cs="Arial"/>
        </w:rPr>
        <w:t>.</w:t>
      </w:r>
      <w:r w:rsidR="00D53B25">
        <w:rPr>
          <w:rStyle w:val="FootnoteReference"/>
          <w:rFonts w:ascii="Arial" w:hAnsi="Arial" w:cs="Arial"/>
        </w:rPr>
        <w:footnoteReference w:id="26"/>
      </w:r>
    </w:p>
    <w:p w14:paraId="24C3DA81" w14:textId="2A444DC8" w:rsidR="002A2964" w:rsidRDefault="009D51A0" w:rsidP="001351F2">
      <w:pPr>
        <w:rPr>
          <w:rFonts w:ascii="Arial" w:hAnsi="Arial" w:cs="Arial"/>
        </w:rPr>
      </w:pPr>
      <w:r>
        <w:rPr>
          <w:rFonts w:ascii="Arial" w:hAnsi="Arial" w:cs="Arial"/>
        </w:rPr>
        <w:t xml:space="preserve">Both Options 7A and 7B </w:t>
      </w:r>
      <w:r w:rsidR="00380748">
        <w:rPr>
          <w:rFonts w:ascii="Arial" w:hAnsi="Arial" w:cs="Arial"/>
        </w:rPr>
        <w:t xml:space="preserve">would </w:t>
      </w:r>
      <w:r>
        <w:rPr>
          <w:rFonts w:ascii="Arial" w:hAnsi="Arial" w:cs="Arial"/>
        </w:rPr>
        <w:t xml:space="preserve">require at least two </w:t>
      </w:r>
      <w:r w:rsidR="005E3B1A">
        <w:rPr>
          <w:rFonts w:ascii="Arial" w:hAnsi="Arial" w:cs="Arial"/>
        </w:rPr>
        <w:t xml:space="preserve">to three </w:t>
      </w:r>
      <w:r>
        <w:rPr>
          <w:rFonts w:ascii="Arial" w:hAnsi="Arial" w:cs="Arial"/>
        </w:rPr>
        <w:t>years to implement</w:t>
      </w:r>
      <w:r w:rsidR="00253B0D">
        <w:rPr>
          <w:rFonts w:ascii="Arial" w:hAnsi="Arial" w:cs="Arial"/>
        </w:rPr>
        <w:t xml:space="preserve">. </w:t>
      </w:r>
      <w:r w:rsidR="0069486A">
        <w:rPr>
          <w:rFonts w:ascii="Arial" w:hAnsi="Arial" w:cs="Arial"/>
        </w:rPr>
        <w:t xml:space="preserve">This is due to </w:t>
      </w:r>
      <w:r w:rsidR="0069486A" w:rsidRPr="0069486A">
        <w:rPr>
          <w:rFonts w:ascii="Arial" w:hAnsi="Arial" w:cs="Arial"/>
        </w:rPr>
        <w:t xml:space="preserve">required </w:t>
      </w:r>
      <w:r w:rsidR="0069486A">
        <w:rPr>
          <w:rFonts w:ascii="Arial" w:hAnsi="Arial" w:cs="Arial"/>
        </w:rPr>
        <w:t xml:space="preserve">upgrades to </w:t>
      </w:r>
      <w:r w:rsidR="00C54B61">
        <w:rPr>
          <w:rFonts w:ascii="Arial" w:hAnsi="Arial" w:cs="Arial"/>
        </w:rPr>
        <w:t>C</w:t>
      </w:r>
      <w:r w:rsidR="000946AC">
        <w:rPr>
          <w:rFonts w:ascii="Arial" w:hAnsi="Arial" w:cs="Arial"/>
        </w:rPr>
        <w:t>arrier</w:t>
      </w:r>
      <w:r w:rsidR="000946AC">
        <w:rPr>
          <w:rFonts w:ascii="Arial" w:hAnsi="Arial" w:cs="Arial"/>
        </w:rPr>
        <w:t xml:space="preserve"> </w:t>
      </w:r>
      <w:r w:rsidR="0069486A" w:rsidRPr="0069486A">
        <w:rPr>
          <w:rFonts w:ascii="Arial" w:hAnsi="Arial" w:cs="Arial"/>
        </w:rPr>
        <w:t>network element</w:t>
      </w:r>
      <w:r w:rsidR="0069486A">
        <w:rPr>
          <w:rFonts w:ascii="Arial" w:hAnsi="Arial" w:cs="Arial"/>
        </w:rPr>
        <w:t>s</w:t>
      </w:r>
      <w:r w:rsidR="000946AC">
        <w:rPr>
          <w:rFonts w:ascii="Arial" w:hAnsi="Arial" w:cs="Arial"/>
        </w:rPr>
        <w:t xml:space="preserve"> and</w:t>
      </w:r>
      <w:r w:rsidR="0069486A">
        <w:rPr>
          <w:rFonts w:ascii="Arial" w:hAnsi="Arial" w:cs="Arial"/>
        </w:rPr>
        <w:t xml:space="preserve"> support systems</w:t>
      </w:r>
      <w:r w:rsidR="000946AC">
        <w:rPr>
          <w:rFonts w:ascii="Arial" w:hAnsi="Arial" w:cs="Arial"/>
        </w:rPr>
        <w:t>,</w:t>
      </w:r>
      <w:r w:rsidR="00CA06C3">
        <w:rPr>
          <w:rFonts w:ascii="Arial" w:hAnsi="Arial" w:cs="Arial"/>
        </w:rPr>
        <w:t xml:space="preserve"> </w:t>
      </w:r>
      <w:r w:rsidR="00CA06C3" w:rsidRPr="007220B7">
        <w:rPr>
          <w:rFonts w:ascii="Arial" w:hAnsi="Arial" w:cs="Arial"/>
        </w:rPr>
        <w:t>and</w:t>
      </w:r>
      <w:r w:rsidR="0069486A" w:rsidRPr="007220B7">
        <w:rPr>
          <w:rFonts w:ascii="Arial" w:hAnsi="Arial" w:cs="Arial"/>
        </w:rPr>
        <w:t xml:space="preserve"> </w:t>
      </w:r>
      <w:r w:rsidR="00CA06C3" w:rsidRPr="007220B7">
        <w:rPr>
          <w:rFonts w:ascii="Arial" w:hAnsi="Arial" w:cs="Arial"/>
        </w:rPr>
        <w:t xml:space="preserve">the CNA’s number </w:t>
      </w:r>
      <w:r w:rsidR="00CA06C3" w:rsidRPr="00260FF3">
        <w:rPr>
          <w:rFonts w:ascii="Arial" w:hAnsi="Arial" w:cs="Arial"/>
        </w:rPr>
        <w:t>administration system</w:t>
      </w:r>
      <w:r w:rsidR="0069486A" w:rsidRPr="0069486A">
        <w:rPr>
          <w:rFonts w:ascii="Arial" w:hAnsi="Arial" w:cs="Arial"/>
        </w:rPr>
        <w:t>.</w:t>
      </w:r>
      <w:r w:rsidR="0069486A">
        <w:rPr>
          <w:rFonts w:ascii="Arial" w:hAnsi="Arial" w:cs="Arial"/>
        </w:rPr>
        <w:t xml:space="preserve">  </w:t>
      </w:r>
      <w:r w:rsidR="002A2964">
        <w:rPr>
          <w:rFonts w:ascii="Arial" w:hAnsi="Arial" w:cs="Arial"/>
        </w:rPr>
        <w:t xml:space="preserve">During this </w:t>
      </w:r>
      <w:proofErr w:type="gramStart"/>
      <w:r w:rsidR="002A2964">
        <w:rPr>
          <w:rFonts w:ascii="Arial" w:hAnsi="Arial" w:cs="Arial"/>
        </w:rPr>
        <w:t>time period</w:t>
      </w:r>
      <w:proofErr w:type="gramEnd"/>
      <w:r w:rsidR="002A2964">
        <w:rPr>
          <w:rFonts w:ascii="Arial" w:hAnsi="Arial" w:cs="Arial"/>
        </w:rPr>
        <w:t xml:space="preserve">, more 6YY </w:t>
      </w:r>
      <w:r w:rsidR="007E3EED">
        <w:rPr>
          <w:rFonts w:ascii="Arial" w:hAnsi="Arial" w:cs="Arial"/>
        </w:rPr>
        <w:t xml:space="preserve">NPAs </w:t>
      </w:r>
      <w:r w:rsidR="002A2964">
        <w:rPr>
          <w:rFonts w:ascii="Arial" w:hAnsi="Arial" w:cs="Arial"/>
        </w:rPr>
        <w:t xml:space="preserve">will be assigned, leaving fewer available 6YY </w:t>
      </w:r>
      <w:r w:rsidR="007E3EED">
        <w:rPr>
          <w:rFonts w:ascii="Arial" w:hAnsi="Arial" w:cs="Arial"/>
        </w:rPr>
        <w:t xml:space="preserve">NPAs </w:t>
      </w:r>
      <w:r w:rsidR="002A2964">
        <w:rPr>
          <w:rFonts w:ascii="Arial" w:hAnsi="Arial" w:cs="Arial"/>
        </w:rPr>
        <w:t xml:space="preserve">for extension.  However, the quantity of additional TNs that can be made available by extending the unused 6YY </w:t>
      </w:r>
      <w:r w:rsidR="007E3EED">
        <w:rPr>
          <w:rFonts w:ascii="Arial" w:hAnsi="Arial" w:cs="Arial"/>
        </w:rPr>
        <w:t>NPA</w:t>
      </w:r>
      <w:r w:rsidR="00452AA8">
        <w:rPr>
          <w:rFonts w:ascii="Arial" w:hAnsi="Arial" w:cs="Arial"/>
        </w:rPr>
        <w:t>s</w:t>
      </w:r>
      <w:r w:rsidR="007E3EED">
        <w:rPr>
          <w:rFonts w:ascii="Arial" w:hAnsi="Arial" w:cs="Arial"/>
        </w:rPr>
        <w:t xml:space="preserve"> </w:t>
      </w:r>
      <w:r w:rsidR="002A2964">
        <w:rPr>
          <w:rFonts w:ascii="Arial" w:hAnsi="Arial" w:cs="Arial"/>
        </w:rPr>
        <w:t>would be very high.</w:t>
      </w:r>
    </w:p>
    <w:p w14:paraId="08A2582A" w14:textId="77777777" w:rsidR="00FB2E79" w:rsidRPr="007220B7" w:rsidRDefault="009D51A0" w:rsidP="001351F2">
      <w:pPr>
        <w:rPr>
          <w:rFonts w:ascii="Arial" w:hAnsi="Arial" w:cs="Arial"/>
          <w:highlight w:val="yellow"/>
        </w:rPr>
      </w:pPr>
      <w:r>
        <w:rPr>
          <w:rFonts w:ascii="Arial" w:hAnsi="Arial" w:cs="Arial"/>
        </w:rPr>
        <w:t xml:space="preserve">Both </w:t>
      </w:r>
      <w:r w:rsidR="002A2964">
        <w:rPr>
          <w:rFonts w:ascii="Arial" w:hAnsi="Arial" w:cs="Arial"/>
        </w:rPr>
        <w:t xml:space="preserve">Options 7A and 7B </w:t>
      </w:r>
      <w:r>
        <w:rPr>
          <w:rFonts w:ascii="Arial" w:hAnsi="Arial" w:cs="Arial"/>
        </w:rPr>
        <w:t xml:space="preserve">would require that the CSCN </w:t>
      </w:r>
      <w:r w:rsidR="00F06248">
        <w:rPr>
          <w:rFonts w:ascii="Arial" w:hAnsi="Arial" w:cs="Arial"/>
        </w:rPr>
        <w:t xml:space="preserve">consider </w:t>
      </w:r>
      <w:r>
        <w:rPr>
          <w:rFonts w:ascii="Arial" w:hAnsi="Arial" w:cs="Arial"/>
        </w:rPr>
        <w:t>the optimum block size for assignment.</w:t>
      </w:r>
      <w:r w:rsidR="002A2964">
        <w:rPr>
          <w:rStyle w:val="FootnoteReference"/>
          <w:rFonts w:ascii="Arial" w:hAnsi="Arial" w:cs="Arial"/>
        </w:rPr>
        <w:footnoteReference w:id="27"/>
      </w:r>
      <w:r w:rsidR="00FB2E79">
        <w:rPr>
          <w:rFonts w:ascii="Arial" w:hAnsi="Arial" w:cs="Arial"/>
        </w:rPr>
        <w:t xml:space="preserve">  </w:t>
      </w:r>
      <w:r w:rsidR="00FB2E79" w:rsidRPr="000375BF">
        <w:rPr>
          <w:rFonts w:ascii="Arial" w:hAnsi="Arial" w:cs="Arial"/>
        </w:rPr>
        <w:t xml:space="preserve">Also, NRUFs would have to be adjusted to accommodate the large volume of TNs that would become available. </w:t>
      </w:r>
    </w:p>
    <w:p w14:paraId="571CF9CE" w14:textId="77777777" w:rsidR="0069486A" w:rsidRDefault="0069486A" w:rsidP="001351F2">
      <w:pPr>
        <w:rPr>
          <w:rFonts w:ascii="Arial" w:hAnsi="Arial" w:cs="Arial"/>
        </w:rPr>
      </w:pPr>
    </w:p>
    <w:p w14:paraId="0DA836AB" w14:textId="77777777" w:rsidR="0048668B" w:rsidRDefault="000C1FBD" w:rsidP="001351F2">
      <w:pPr>
        <w:pStyle w:val="Heading1"/>
        <w:numPr>
          <w:ilvl w:val="2"/>
          <w:numId w:val="44"/>
        </w:numPr>
        <w:rPr>
          <w:rFonts w:ascii="Arial" w:hAnsi="Arial"/>
          <w:sz w:val="24"/>
          <w:szCs w:val="24"/>
        </w:rPr>
      </w:pPr>
      <w:bookmarkStart w:id="53" w:name="_Toc156387046"/>
      <w:bookmarkStart w:id="54" w:name="_Toc162946402"/>
      <w:r>
        <w:rPr>
          <w:rFonts w:ascii="Arial" w:hAnsi="Arial"/>
          <w:sz w:val="24"/>
          <w:szCs w:val="24"/>
        </w:rPr>
        <w:t xml:space="preserve">Option 7A: </w:t>
      </w:r>
      <w:r w:rsidR="00A86888">
        <w:rPr>
          <w:rFonts w:ascii="Arial" w:hAnsi="Arial"/>
          <w:sz w:val="24"/>
          <w:szCs w:val="24"/>
        </w:rPr>
        <w:t xml:space="preserve">Use </w:t>
      </w:r>
      <w:r w:rsidR="00E7364D">
        <w:rPr>
          <w:rFonts w:ascii="Arial" w:hAnsi="Arial"/>
          <w:sz w:val="24"/>
          <w:szCs w:val="24"/>
        </w:rPr>
        <w:t>1+</w:t>
      </w:r>
      <w:r w:rsidR="00A86888">
        <w:rPr>
          <w:rFonts w:ascii="Arial" w:hAnsi="Arial"/>
          <w:sz w:val="24"/>
          <w:szCs w:val="24"/>
        </w:rPr>
        <w:t xml:space="preserve">12-digit TNs in unused 6YY </w:t>
      </w:r>
      <w:proofErr w:type="gramStart"/>
      <w:r w:rsidR="000375BF">
        <w:rPr>
          <w:rFonts w:ascii="Arial" w:hAnsi="Arial"/>
          <w:sz w:val="24"/>
          <w:szCs w:val="24"/>
        </w:rPr>
        <w:t>NPAs</w:t>
      </w:r>
      <w:bookmarkEnd w:id="53"/>
      <w:bookmarkEnd w:id="54"/>
      <w:proofErr w:type="gramEnd"/>
    </w:p>
    <w:p w14:paraId="09460801" w14:textId="77777777" w:rsidR="00C35A59" w:rsidRDefault="00C35A59" w:rsidP="001351F2">
      <w:pPr>
        <w:pStyle w:val="ListParagraph"/>
        <w:ind w:left="1224"/>
        <w:rPr>
          <w:rFonts w:ascii="Arial" w:eastAsiaTheme="majorEastAsia" w:hAnsi="Arial" w:cstheme="majorBidi"/>
          <w:color w:val="2F5496" w:themeColor="accent1" w:themeShade="BF"/>
          <w:sz w:val="24"/>
          <w:szCs w:val="24"/>
          <w:lang w:val="en-CA"/>
        </w:rPr>
      </w:pPr>
    </w:p>
    <w:p w14:paraId="5EADC595" w14:textId="3A9ACBD4" w:rsidR="00751608" w:rsidRDefault="000C1FBD" w:rsidP="001351F2">
      <w:pPr>
        <w:rPr>
          <w:rFonts w:ascii="Arial" w:hAnsi="Arial" w:cs="Arial"/>
        </w:rPr>
      </w:pPr>
      <w:r>
        <w:rPr>
          <w:rFonts w:ascii="Arial" w:hAnsi="Arial" w:cs="Arial"/>
        </w:rPr>
        <w:t>Option 7A</w:t>
      </w:r>
      <w:r w:rsidR="0048668B" w:rsidRPr="00244DB3">
        <w:rPr>
          <w:rFonts w:ascii="Arial" w:hAnsi="Arial" w:cs="Arial"/>
        </w:rPr>
        <w:t xml:space="preserve"> </w:t>
      </w:r>
      <w:r>
        <w:rPr>
          <w:rFonts w:ascii="Arial" w:hAnsi="Arial" w:cs="Arial"/>
        </w:rPr>
        <w:t>makes more TN</w:t>
      </w:r>
      <w:r w:rsidR="0000720D">
        <w:rPr>
          <w:rFonts w:ascii="Arial" w:hAnsi="Arial" w:cs="Arial"/>
        </w:rPr>
        <w:t>s</w:t>
      </w:r>
      <w:r>
        <w:rPr>
          <w:rFonts w:ascii="Arial" w:hAnsi="Arial" w:cs="Arial"/>
        </w:rPr>
        <w:t xml:space="preserve"> available in </w:t>
      </w:r>
      <w:r w:rsidR="0048668B" w:rsidRPr="00244DB3">
        <w:rPr>
          <w:rFonts w:ascii="Arial" w:hAnsi="Arial" w:cs="Arial"/>
        </w:rPr>
        <w:t xml:space="preserve">unused 6YY </w:t>
      </w:r>
      <w:r w:rsidR="00B24576">
        <w:rPr>
          <w:rFonts w:ascii="Arial" w:hAnsi="Arial" w:cs="Arial"/>
        </w:rPr>
        <w:t xml:space="preserve">NPAs </w:t>
      </w:r>
      <w:r>
        <w:rPr>
          <w:rFonts w:ascii="Arial" w:hAnsi="Arial" w:cs="Arial"/>
        </w:rPr>
        <w:t xml:space="preserve">by expanding the number of digits from </w:t>
      </w:r>
      <w:r w:rsidR="0053545B">
        <w:rPr>
          <w:rFonts w:ascii="Arial" w:hAnsi="Arial" w:cs="Arial"/>
        </w:rPr>
        <w:t>1+</w:t>
      </w:r>
      <w:r>
        <w:rPr>
          <w:rFonts w:ascii="Arial" w:hAnsi="Arial" w:cs="Arial"/>
        </w:rPr>
        <w:t xml:space="preserve">10 to </w:t>
      </w:r>
      <w:r w:rsidR="0053545B">
        <w:rPr>
          <w:rFonts w:ascii="Arial" w:hAnsi="Arial" w:cs="Arial"/>
        </w:rPr>
        <w:t>1+</w:t>
      </w:r>
      <w:r>
        <w:rPr>
          <w:rFonts w:ascii="Arial" w:hAnsi="Arial" w:cs="Arial"/>
        </w:rPr>
        <w:t>12 (</w:t>
      </w:r>
      <w:r w:rsidR="00B00FE6">
        <w:rPr>
          <w:rFonts w:ascii="Arial" w:hAnsi="Arial" w:cs="Arial"/>
        </w:rPr>
        <w:t>i.</w:t>
      </w:r>
      <w:r w:rsidR="00B00FE6">
        <w:rPr>
          <w:rFonts w:ascii="Arial" w:hAnsi="Arial" w:cs="Arial"/>
        </w:rPr>
        <w:t>e.,</w:t>
      </w:r>
      <w:r>
        <w:rPr>
          <w:rFonts w:ascii="Arial" w:hAnsi="Arial" w:cs="Arial"/>
        </w:rPr>
        <w:t xml:space="preserve"> </w:t>
      </w:r>
      <w:r w:rsidR="0048668B" w:rsidRPr="00244DB3">
        <w:rPr>
          <w:rFonts w:ascii="Arial" w:hAnsi="Arial" w:cs="Arial"/>
        </w:rPr>
        <w:t>1-688</w:t>
      </w:r>
      <w:r w:rsidR="00B84835" w:rsidRPr="00F00180">
        <w:rPr>
          <w:rFonts w:ascii="Arial" w:hAnsi="Arial"/>
          <w:b/>
        </w:rPr>
        <w:t>X</w:t>
      </w:r>
      <w:r w:rsidR="0048668B" w:rsidRPr="00F00180">
        <w:rPr>
          <w:rFonts w:ascii="Arial" w:hAnsi="Arial"/>
          <w:b/>
        </w:rPr>
        <w:t>-</w:t>
      </w:r>
      <w:r w:rsidR="00BB003F" w:rsidRPr="00F00180">
        <w:rPr>
          <w:rFonts w:ascii="Arial" w:hAnsi="Arial"/>
          <w:b/>
        </w:rPr>
        <w:t>X</w:t>
      </w:r>
      <w:r w:rsidR="00BB003F" w:rsidRPr="00CA7DF9">
        <w:rPr>
          <w:rFonts w:ascii="Arial" w:hAnsi="Arial" w:cs="Arial"/>
        </w:rPr>
        <w:t>NX</w:t>
      </w:r>
      <w:r w:rsidR="00BB003F" w:rsidRPr="00CA7DF9">
        <w:rPr>
          <w:rFonts w:ascii="Arial" w:hAnsi="Arial" w:cs="Arial"/>
          <w:bCs/>
        </w:rPr>
        <w:t>X</w:t>
      </w:r>
      <w:r w:rsidR="0048668B" w:rsidRPr="002A2964">
        <w:rPr>
          <w:rFonts w:ascii="Arial" w:hAnsi="Arial" w:cs="Arial"/>
        </w:rPr>
        <w:t>-</w:t>
      </w:r>
      <w:r w:rsidR="0048668B" w:rsidRPr="00E93755">
        <w:rPr>
          <w:rFonts w:ascii="Arial" w:hAnsi="Arial" w:cs="Arial"/>
          <w:bCs/>
        </w:rPr>
        <w:t>X</w:t>
      </w:r>
      <w:r w:rsidR="0048668B" w:rsidRPr="002A2964">
        <w:rPr>
          <w:rFonts w:ascii="Arial" w:hAnsi="Arial" w:cs="Arial"/>
        </w:rPr>
        <w:t>XXX</w:t>
      </w:r>
      <w:r w:rsidR="0048668B" w:rsidRPr="00244DB3">
        <w:rPr>
          <w:rFonts w:ascii="Arial" w:hAnsi="Arial" w:cs="Arial"/>
        </w:rPr>
        <w:t>.</w:t>
      </w:r>
      <w:r>
        <w:rPr>
          <w:rFonts w:ascii="Arial" w:hAnsi="Arial" w:cs="Arial"/>
        </w:rPr>
        <w:t>)</w:t>
      </w:r>
      <w:r w:rsidR="0048668B" w:rsidRPr="00244DB3">
        <w:rPr>
          <w:rFonts w:ascii="Arial" w:hAnsi="Arial" w:cs="Arial"/>
        </w:rPr>
        <w:t xml:space="preserve"> </w:t>
      </w:r>
      <w:r w:rsidR="002D35C7">
        <w:rPr>
          <w:rFonts w:ascii="Arial" w:hAnsi="Arial" w:cs="Arial"/>
        </w:rPr>
        <w:t xml:space="preserve"> Option 7A uses the fourth digit </w:t>
      </w:r>
      <w:r w:rsidR="00292304">
        <w:rPr>
          <w:rFonts w:ascii="Arial" w:hAnsi="Arial" w:cs="Arial"/>
        </w:rPr>
        <w:t xml:space="preserve">excluding </w:t>
      </w:r>
      <w:r w:rsidR="002D35C7">
        <w:rPr>
          <w:rFonts w:ascii="Arial" w:hAnsi="Arial" w:cs="Arial"/>
        </w:rPr>
        <w:t xml:space="preserve">the Country Code (the D-digit) to identify an extended number format.  </w:t>
      </w:r>
      <w:r w:rsidR="00D6376C">
        <w:rPr>
          <w:rFonts w:ascii="Arial" w:hAnsi="Arial" w:cs="Arial"/>
        </w:rPr>
        <w:t xml:space="preserve">This option aligns with the </w:t>
      </w:r>
      <w:r w:rsidR="00033BE1">
        <w:rPr>
          <w:rFonts w:ascii="Arial" w:hAnsi="Arial" w:cs="Arial"/>
        </w:rPr>
        <w:t>2002</w:t>
      </w:r>
      <w:r w:rsidR="00D6376C" w:rsidRPr="00260FF3">
        <w:rPr>
          <w:rFonts w:ascii="Arial" w:hAnsi="Arial" w:cs="Arial"/>
        </w:rPr>
        <w:t xml:space="preserve"> NANPE </w:t>
      </w:r>
      <w:r w:rsidR="00033BE1">
        <w:rPr>
          <w:rFonts w:ascii="Arial" w:hAnsi="Arial" w:cs="Arial"/>
        </w:rPr>
        <w:t>plan</w:t>
      </w:r>
      <w:r w:rsidR="00D6376C" w:rsidRPr="00260FF3">
        <w:rPr>
          <w:rFonts w:ascii="Arial" w:hAnsi="Arial" w:cs="Arial"/>
        </w:rPr>
        <w:t>.</w:t>
      </w:r>
      <w:r w:rsidR="0048668B" w:rsidRPr="00244DB3">
        <w:rPr>
          <w:rFonts w:ascii="Arial" w:hAnsi="Arial" w:cs="Arial"/>
        </w:rPr>
        <w:t xml:space="preserve"> </w:t>
      </w:r>
    </w:p>
    <w:p w14:paraId="4B81E050" w14:textId="6317F9D5" w:rsidR="00CE364E" w:rsidRDefault="002D35C7" w:rsidP="001351F2">
      <w:pPr>
        <w:rPr>
          <w:rFonts w:ascii="Arial" w:hAnsi="Arial" w:cs="Arial"/>
        </w:rPr>
      </w:pPr>
      <w:r>
        <w:rPr>
          <w:rFonts w:ascii="Arial" w:hAnsi="Arial" w:cs="Arial"/>
        </w:rPr>
        <w:t>Option 7A</w:t>
      </w:r>
      <w:r w:rsidR="00F81626">
        <w:rPr>
          <w:rFonts w:ascii="Arial" w:hAnsi="Arial" w:cs="Arial"/>
        </w:rPr>
        <w:t xml:space="preserve"> </w:t>
      </w:r>
      <w:r w:rsidR="001B4217">
        <w:rPr>
          <w:rFonts w:ascii="Arial" w:hAnsi="Arial" w:cs="Arial"/>
        </w:rPr>
        <w:t xml:space="preserve">would </w:t>
      </w:r>
      <w:r w:rsidR="00B007D7">
        <w:rPr>
          <w:rFonts w:ascii="Arial" w:hAnsi="Arial" w:cs="Arial"/>
        </w:rPr>
        <w:t>be implemented in two phases</w:t>
      </w:r>
      <w:r w:rsidR="00067F41">
        <w:rPr>
          <w:rFonts w:ascii="Arial" w:hAnsi="Arial" w:cs="Arial"/>
        </w:rPr>
        <w:t>. Phase 1 would be</w:t>
      </w:r>
      <w:r w:rsidR="00B007D7">
        <w:rPr>
          <w:rFonts w:ascii="Arial" w:hAnsi="Arial" w:cs="Arial"/>
        </w:rPr>
        <w:t xml:space="preserve"> </w:t>
      </w:r>
      <w:r w:rsidR="004550AA">
        <w:rPr>
          <w:rFonts w:ascii="Arial" w:hAnsi="Arial" w:cs="Arial"/>
        </w:rPr>
        <w:t xml:space="preserve">applied only to unassigned NPAs </w:t>
      </w:r>
      <w:r w:rsidR="00B00FE6">
        <w:rPr>
          <w:rFonts w:ascii="Arial" w:hAnsi="Arial" w:cs="Arial"/>
        </w:rPr>
        <w:t>(</w:t>
      </w:r>
      <w:proofErr w:type="spellStart"/>
      <w:r w:rsidR="00B00FE6">
        <w:rPr>
          <w:rFonts w:ascii="Arial" w:hAnsi="Arial" w:cs="Arial"/>
        </w:rPr>
        <w:t>i.</w:t>
      </w:r>
      <w:r w:rsidR="00B00FE6">
        <w:rPr>
          <w:rFonts w:ascii="Arial" w:hAnsi="Arial" w:cs="Arial"/>
        </w:rPr>
        <w:t>e</w:t>
      </w:r>
      <w:proofErr w:type="spellEnd"/>
      <w:r w:rsidR="00B00FE6">
        <w:rPr>
          <w:rFonts w:ascii="Arial" w:hAnsi="Arial" w:cs="Arial"/>
        </w:rPr>
        <w:t xml:space="preserve">, </w:t>
      </w:r>
      <w:r w:rsidR="003B7592">
        <w:rPr>
          <w:rFonts w:ascii="Arial" w:hAnsi="Arial" w:cs="Arial"/>
        </w:rPr>
        <w:t>1-688</w:t>
      </w:r>
      <w:r w:rsidR="00AF584F" w:rsidRPr="00E93755">
        <w:rPr>
          <w:rFonts w:ascii="Arial" w:hAnsi="Arial" w:cs="Arial"/>
          <w:b/>
          <w:bCs/>
        </w:rPr>
        <w:t>0</w:t>
      </w:r>
      <w:r w:rsidR="00C95185">
        <w:rPr>
          <w:rFonts w:ascii="Arial" w:hAnsi="Arial" w:cs="Arial"/>
        </w:rPr>
        <w:t>-</w:t>
      </w:r>
      <w:r w:rsidR="00042E3A">
        <w:rPr>
          <w:rFonts w:ascii="Arial" w:hAnsi="Arial" w:cs="Arial"/>
        </w:rPr>
        <w:t>XN</w:t>
      </w:r>
      <w:r w:rsidR="00C95185">
        <w:rPr>
          <w:rFonts w:ascii="Arial" w:hAnsi="Arial" w:cs="Arial"/>
        </w:rPr>
        <w:t>XX-XXXX</w:t>
      </w:r>
      <w:r w:rsidR="00B00FE6">
        <w:rPr>
          <w:rFonts w:ascii="Arial" w:hAnsi="Arial" w:cs="Arial"/>
        </w:rPr>
        <w:t>)</w:t>
      </w:r>
      <w:r w:rsidR="00C95185">
        <w:rPr>
          <w:rFonts w:ascii="Arial" w:hAnsi="Arial" w:cs="Arial"/>
        </w:rPr>
        <w:t>.</w:t>
      </w:r>
      <w:r w:rsidR="00C95185">
        <w:rPr>
          <w:rFonts w:ascii="Arial" w:hAnsi="Arial" w:cs="Arial"/>
        </w:rPr>
        <w:t xml:space="preserve"> </w:t>
      </w:r>
      <w:r w:rsidR="001B311E">
        <w:rPr>
          <w:rFonts w:ascii="Arial" w:hAnsi="Arial" w:cs="Arial"/>
        </w:rPr>
        <w:t xml:space="preserve">The “0” </w:t>
      </w:r>
      <w:r>
        <w:rPr>
          <w:rFonts w:ascii="Arial" w:hAnsi="Arial" w:cs="Arial"/>
        </w:rPr>
        <w:t xml:space="preserve">in the D-digit </w:t>
      </w:r>
      <w:r w:rsidR="007F6FAC">
        <w:rPr>
          <w:rFonts w:ascii="Arial" w:hAnsi="Arial" w:cs="Arial"/>
        </w:rPr>
        <w:t>(t</w:t>
      </w:r>
      <w:r w:rsidR="007F6FAC" w:rsidRPr="00DC5898">
        <w:rPr>
          <w:rFonts w:ascii="Arial" w:hAnsi="Arial" w:cs="Arial"/>
        </w:rPr>
        <w:t>he fourth digit in a TN, excluding the Country Code</w:t>
      </w:r>
      <w:r w:rsidR="007F6FAC">
        <w:rPr>
          <w:rFonts w:ascii="Arial" w:hAnsi="Arial" w:cs="Arial"/>
        </w:rPr>
        <w:t xml:space="preserve">) </w:t>
      </w:r>
      <w:r w:rsidR="001B311E" w:rsidRPr="00AE20BC">
        <w:rPr>
          <w:rFonts w:ascii="Arial" w:hAnsi="Arial" w:cs="Arial"/>
        </w:rPr>
        <w:t xml:space="preserve">would </w:t>
      </w:r>
      <w:r w:rsidR="005D0E1A" w:rsidRPr="00AE20BC">
        <w:rPr>
          <w:rFonts w:ascii="Arial" w:hAnsi="Arial" w:cs="Arial"/>
        </w:rPr>
        <w:t xml:space="preserve">allow for the ready detection of an expanded TN across </w:t>
      </w:r>
      <w:r w:rsidR="0000720D" w:rsidRPr="00AE20BC">
        <w:rPr>
          <w:rFonts w:ascii="Arial" w:hAnsi="Arial" w:cs="Arial"/>
        </w:rPr>
        <w:t>any expanded</w:t>
      </w:r>
      <w:r w:rsidR="00B00FE6" w:rsidRPr="00AE20BC">
        <w:rPr>
          <w:rFonts w:ascii="Arial" w:hAnsi="Arial" w:cs="Arial"/>
        </w:rPr>
        <w:t>-</w:t>
      </w:r>
      <w:r w:rsidR="0000720D" w:rsidRPr="00AE20BC">
        <w:rPr>
          <w:rFonts w:ascii="Arial" w:hAnsi="Arial" w:cs="Arial"/>
        </w:rPr>
        <w:t xml:space="preserve">digit </w:t>
      </w:r>
      <w:r w:rsidR="00CE364E" w:rsidRPr="00AE20BC">
        <w:rPr>
          <w:rFonts w:ascii="Arial" w:hAnsi="Arial" w:cs="Arial"/>
        </w:rPr>
        <w:t xml:space="preserve">6YY </w:t>
      </w:r>
      <w:r w:rsidR="005D0E1A" w:rsidRPr="00AE20BC">
        <w:rPr>
          <w:rFonts w:ascii="Arial" w:hAnsi="Arial" w:cs="Arial"/>
        </w:rPr>
        <w:t>NPAs</w:t>
      </w:r>
      <w:r w:rsidR="005D0E1A">
        <w:rPr>
          <w:rFonts w:ascii="Arial" w:hAnsi="Arial" w:cs="Arial"/>
        </w:rPr>
        <w:t xml:space="preserve">. </w:t>
      </w:r>
      <w:r>
        <w:rPr>
          <w:rFonts w:ascii="Arial" w:hAnsi="Arial" w:cs="Arial"/>
        </w:rPr>
        <w:t>Phase 1 would increase the number of phone numbers in an NPA by a factor of 10 (i.e., from 8,000,000 TNs to 80,000,000 TNs).</w:t>
      </w:r>
    </w:p>
    <w:p w14:paraId="50872837" w14:textId="20ACB9F0" w:rsidR="000B5352" w:rsidRPr="00244DB3" w:rsidRDefault="00067F41" w:rsidP="001351F2">
      <w:pPr>
        <w:rPr>
          <w:rFonts w:ascii="Arial" w:hAnsi="Arial" w:cs="Arial"/>
        </w:rPr>
      </w:pPr>
      <w:r>
        <w:rPr>
          <w:rFonts w:ascii="Arial" w:hAnsi="Arial" w:cs="Arial"/>
        </w:rPr>
        <w:t xml:space="preserve">Phase 2 would </w:t>
      </w:r>
      <w:r w:rsidR="00B22DE6">
        <w:rPr>
          <w:rFonts w:ascii="Arial" w:hAnsi="Arial" w:cs="Arial"/>
        </w:rPr>
        <w:t>unlock the</w:t>
      </w:r>
      <w:r w:rsidR="002D35C7">
        <w:rPr>
          <w:rFonts w:ascii="Arial" w:hAnsi="Arial" w:cs="Arial"/>
        </w:rPr>
        <w:t xml:space="preserve"> D-</w:t>
      </w:r>
      <w:r w:rsidR="00B22DE6">
        <w:rPr>
          <w:rFonts w:ascii="Arial" w:hAnsi="Arial" w:cs="Arial"/>
        </w:rPr>
        <w:t xml:space="preserve">digit </w:t>
      </w:r>
      <w:r w:rsidR="00452D36">
        <w:rPr>
          <w:rFonts w:ascii="Arial" w:hAnsi="Arial" w:cs="Arial"/>
        </w:rPr>
        <w:t xml:space="preserve">to </w:t>
      </w:r>
      <w:r>
        <w:rPr>
          <w:rFonts w:ascii="Arial" w:hAnsi="Arial" w:cs="Arial"/>
        </w:rPr>
        <w:t xml:space="preserve">be </w:t>
      </w:r>
      <w:r w:rsidR="001711FB">
        <w:rPr>
          <w:rFonts w:ascii="Arial" w:hAnsi="Arial" w:cs="Arial"/>
        </w:rPr>
        <w:t>any number from 0 to 9</w:t>
      </w:r>
      <w:r w:rsidR="005041E4">
        <w:rPr>
          <w:rFonts w:ascii="Arial" w:hAnsi="Arial" w:cs="Arial"/>
        </w:rPr>
        <w:t xml:space="preserve">. The resulting format </w:t>
      </w:r>
      <w:r w:rsidR="002D35C7">
        <w:rPr>
          <w:rFonts w:ascii="Arial" w:hAnsi="Arial" w:cs="Arial"/>
        </w:rPr>
        <w:t>would be</w:t>
      </w:r>
      <w:r w:rsidR="005041E4">
        <w:rPr>
          <w:rFonts w:ascii="Arial" w:hAnsi="Arial" w:cs="Arial"/>
        </w:rPr>
        <w:t xml:space="preserve"> </w:t>
      </w:r>
      <w:r>
        <w:rPr>
          <w:rFonts w:ascii="Arial" w:hAnsi="Arial" w:cs="Arial"/>
        </w:rPr>
        <w:t>1-688</w:t>
      </w:r>
      <w:r w:rsidRPr="00E93755">
        <w:rPr>
          <w:rFonts w:ascii="Arial" w:hAnsi="Arial" w:cs="Arial"/>
          <w:b/>
          <w:bCs/>
        </w:rPr>
        <w:t>X</w:t>
      </w:r>
      <w:r>
        <w:rPr>
          <w:rFonts w:ascii="Arial" w:hAnsi="Arial" w:cs="Arial"/>
        </w:rPr>
        <w:t>-</w:t>
      </w:r>
      <w:r w:rsidR="00042E3A">
        <w:rPr>
          <w:rFonts w:ascii="Arial" w:hAnsi="Arial" w:cs="Arial"/>
        </w:rPr>
        <w:t>XN</w:t>
      </w:r>
      <w:r>
        <w:rPr>
          <w:rFonts w:ascii="Arial" w:hAnsi="Arial" w:cs="Arial"/>
        </w:rPr>
        <w:t>XX-XXXX</w:t>
      </w:r>
      <w:r w:rsidR="005041E4">
        <w:rPr>
          <w:rFonts w:ascii="Arial" w:hAnsi="Arial" w:cs="Arial"/>
        </w:rPr>
        <w:t xml:space="preserve">. </w:t>
      </w:r>
      <w:r w:rsidR="00066B9C">
        <w:rPr>
          <w:rFonts w:ascii="Arial" w:hAnsi="Arial" w:cs="Arial"/>
        </w:rPr>
        <w:t xml:space="preserve">This is, in effect, implementation of the NANPE solution and would </w:t>
      </w:r>
      <w:r w:rsidR="00066B9C" w:rsidRPr="00244DB3">
        <w:rPr>
          <w:rFonts w:ascii="Arial" w:hAnsi="Arial" w:cs="Arial"/>
        </w:rPr>
        <w:t xml:space="preserve">increase the quantity of telephone numbers by a factor of </w:t>
      </w:r>
      <w:r w:rsidR="00066B9C">
        <w:rPr>
          <w:rFonts w:ascii="Arial" w:hAnsi="Arial" w:cs="Arial"/>
        </w:rPr>
        <w:t xml:space="preserve">10 compared to Phase 1, or a factor of </w:t>
      </w:r>
      <w:r w:rsidR="00066B9C" w:rsidRPr="00244DB3">
        <w:rPr>
          <w:rFonts w:ascii="Arial" w:hAnsi="Arial" w:cs="Arial"/>
        </w:rPr>
        <w:t>100</w:t>
      </w:r>
      <w:r w:rsidR="00066B9C">
        <w:rPr>
          <w:rFonts w:ascii="Arial" w:hAnsi="Arial" w:cs="Arial"/>
        </w:rPr>
        <w:t xml:space="preserve"> (i.e. from 8,000,000 TNs to 800,000,000 TNs) compared to 1+10.  </w:t>
      </w:r>
      <w:r w:rsidR="00C764A7">
        <w:rPr>
          <w:rFonts w:ascii="Arial" w:hAnsi="Arial" w:cs="Arial"/>
        </w:rPr>
        <w:t>However, p</w:t>
      </w:r>
      <w:r w:rsidR="00A7793D">
        <w:rPr>
          <w:rFonts w:ascii="Arial" w:hAnsi="Arial" w:cs="Arial"/>
        </w:rPr>
        <w:t>hase 2</w:t>
      </w:r>
      <w:r w:rsidR="005041E4">
        <w:rPr>
          <w:rFonts w:ascii="Arial" w:hAnsi="Arial" w:cs="Arial"/>
        </w:rPr>
        <w:t xml:space="preserve"> </w:t>
      </w:r>
      <w:r w:rsidR="00C764A7">
        <w:rPr>
          <w:rFonts w:ascii="Arial" w:hAnsi="Arial" w:cs="Arial"/>
        </w:rPr>
        <w:t xml:space="preserve">can </w:t>
      </w:r>
      <w:r w:rsidR="007D2346">
        <w:rPr>
          <w:rFonts w:ascii="Arial" w:hAnsi="Arial" w:cs="Arial"/>
        </w:rPr>
        <w:t xml:space="preserve">only </w:t>
      </w:r>
      <w:r w:rsidR="005041E4">
        <w:rPr>
          <w:rFonts w:ascii="Arial" w:hAnsi="Arial" w:cs="Arial"/>
        </w:rPr>
        <w:t>be implemented</w:t>
      </w:r>
      <w:r w:rsidR="003003EB">
        <w:rPr>
          <w:rFonts w:ascii="Arial" w:hAnsi="Arial" w:cs="Arial"/>
        </w:rPr>
        <w:t xml:space="preserve"> </w:t>
      </w:r>
      <w:r w:rsidR="00BA53CE">
        <w:rPr>
          <w:rFonts w:ascii="Arial" w:hAnsi="Arial" w:cs="Arial"/>
        </w:rPr>
        <w:t>after</w:t>
      </w:r>
      <w:r w:rsidR="003003EB">
        <w:rPr>
          <w:rFonts w:ascii="Arial" w:hAnsi="Arial" w:cs="Arial"/>
        </w:rPr>
        <w:t xml:space="preserve"> </w:t>
      </w:r>
      <w:r w:rsidR="00DD52E1">
        <w:rPr>
          <w:rFonts w:ascii="Arial" w:hAnsi="Arial" w:cs="Arial"/>
        </w:rPr>
        <w:t xml:space="preserve">a 1+12-digit </w:t>
      </w:r>
      <w:r w:rsidR="002D66E6">
        <w:rPr>
          <w:rFonts w:ascii="Arial" w:hAnsi="Arial" w:cs="Arial"/>
        </w:rPr>
        <w:t xml:space="preserve">dialling plan has been implemented across </w:t>
      </w:r>
      <w:r w:rsidR="003003EB">
        <w:rPr>
          <w:rFonts w:ascii="Arial" w:hAnsi="Arial" w:cs="Arial"/>
        </w:rPr>
        <w:t xml:space="preserve">all </w:t>
      </w:r>
      <w:r w:rsidR="00CE364E">
        <w:rPr>
          <w:rFonts w:ascii="Arial" w:hAnsi="Arial" w:cs="Arial"/>
        </w:rPr>
        <w:t>6YY</w:t>
      </w:r>
      <w:r w:rsidR="00CB5F06">
        <w:rPr>
          <w:rFonts w:ascii="Arial" w:hAnsi="Arial" w:cs="Arial"/>
        </w:rPr>
        <w:t xml:space="preserve"> </w:t>
      </w:r>
      <w:r w:rsidR="003003EB">
        <w:rPr>
          <w:rFonts w:ascii="Arial" w:hAnsi="Arial" w:cs="Arial"/>
        </w:rPr>
        <w:t xml:space="preserve">NPAs </w:t>
      </w:r>
      <w:r w:rsidR="00670579">
        <w:rPr>
          <w:rFonts w:ascii="Arial" w:hAnsi="Arial" w:cs="Arial"/>
        </w:rPr>
        <w:t xml:space="preserve">including assigned </w:t>
      </w:r>
      <w:r w:rsidR="00CE364E">
        <w:rPr>
          <w:rFonts w:ascii="Arial" w:hAnsi="Arial" w:cs="Arial"/>
        </w:rPr>
        <w:t xml:space="preserve">6YY </w:t>
      </w:r>
      <w:r w:rsidR="00670579">
        <w:rPr>
          <w:rFonts w:ascii="Arial" w:hAnsi="Arial" w:cs="Arial"/>
        </w:rPr>
        <w:t>NPAs</w:t>
      </w:r>
      <w:r w:rsidR="00C764A7">
        <w:rPr>
          <w:rFonts w:ascii="Arial" w:hAnsi="Arial" w:cs="Arial"/>
        </w:rPr>
        <w:t>, thus i</w:t>
      </w:r>
      <w:r w:rsidR="002A48A3">
        <w:rPr>
          <w:rFonts w:ascii="Arial" w:hAnsi="Arial" w:cs="Arial"/>
        </w:rPr>
        <w:t xml:space="preserve">mplementation of </w:t>
      </w:r>
      <w:r w:rsidR="00C764A7">
        <w:rPr>
          <w:rFonts w:ascii="Arial" w:hAnsi="Arial" w:cs="Arial"/>
        </w:rPr>
        <w:t>p</w:t>
      </w:r>
      <w:r w:rsidR="002A48A3">
        <w:rPr>
          <w:rFonts w:ascii="Arial" w:hAnsi="Arial" w:cs="Arial"/>
        </w:rPr>
        <w:t xml:space="preserve">hase 2 would entail extensive industry </w:t>
      </w:r>
      <w:r w:rsidR="002A48A3">
        <w:rPr>
          <w:rFonts w:ascii="Arial" w:hAnsi="Arial" w:cs="Arial"/>
        </w:rPr>
        <w:lastRenderedPageBreak/>
        <w:t>coordination</w:t>
      </w:r>
      <w:r w:rsidR="00C63CF7">
        <w:rPr>
          <w:rFonts w:ascii="Arial" w:hAnsi="Arial" w:cs="Arial"/>
        </w:rPr>
        <w:t xml:space="preserve"> and expense.</w:t>
      </w:r>
      <w:r w:rsidR="00C764A7">
        <w:rPr>
          <w:rFonts w:ascii="Arial" w:hAnsi="Arial" w:cs="Arial"/>
        </w:rPr>
        <w:t xml:space="preserve">  Since the NANPE solution could be changed upon the next industry review, it would be prudent to defer the implementation of phase 2 to avoid unnecessary expenditure of resources. </w:t>
      </w:r>
      <w:r w:rsidR="00C63CF7">
        <w:rPr>
          <w:rFonts w:ascii="Arial" w:hAnsi="Arial" w:cs="Arial"/>
        </w:rPr>
        <w:t xml:space="preserve"> </w:t>
      </w:r>
    </w:p>
    <w:p w14:paraId="6C1EA6EF" w14:textId="356071D3" w:rsidR="00566E16" w:rsidRPr="00C47606" w:rsidRDefault="00A86888" w:rsidP="001351F2">
      <w:pPr>
        <w:pStyle w:val="Heading1"/>
        <w:numPr>
          <w:ilvl w:val="2"/>
          <w:numId w:val="44"/>
        </w:numPr>
        <w:rPr>
          <w:rFonts w:ascii="Arial" w:hAnsi="Arial"/>
          <w:sz w:val="24"/>
          <w:szCs w:val="24"/>
        </w:rPr>
      </w:pPr>
      <w:bookmarkStart w:id="55" w:name="_Toc153875012"/>
      <w:bookmarkStart w:id="56" w:name="_Toc153875014"/>
      <w:bookmarkStart w:id="57" w:name="_Toc153875015"/>
      <w:bookmarkStart w:id="58" w:name="_Hlk145067145"/>
      <w:bookmarkStart w:id="59" w:name="_Toc156387047"/>
      <w:bookmarkStart w:id="60" w:name="_Toc162946403"/>
      <w:bookmarkEnd w:id="55"/>
      <w:bookmarkEnd w:id="56"/>
      <w:bookmarkEnd w:id="57"/>
      <w:r>
        <w:rPr>
          <w:rFonts w:ascii="Arial" w:hAnsi="Arial"/>
          <w:sz w:val="24"/>
          <w:szCs w:val="24"/>
        </w:rPr>
        <w:t xml:space="preserve">Option 7B:  Use </w:t>
      </w:r>
      <w:r w:rsidR="00E81884">
        <w:rPr>
          <w:rFonts w:ascii="Arial" w:hAnsi="Arial"/>
          <w:sz w:val="24"/>
          <w:szCs w:val="24"/>
        </w:rPr>
        <w:t>1+14</w:t>
      </w:r>
      <w:r>
        <w:rPr>
          <w:rFonts w:ascii="Arial" w:hAnsi="Arial"/>
          <w:sz w:val="24"/>
          <w:szCs w:val="24"/>
        </w:rPr>
        <w:t xml:space="preserve">-digit TNs in unused 6YY </w:t>
      </w:r>
      <w:bookmarkEnd w:id="58"/>
      <w:bookmarkEnd w:id="59"/>
      <w:r w:rsidR="00061027">
        <w:rPr>
          <w:rFonts w:ascii="Arial" w:hAnsi="Arial"/>
          <w:sz w:val="24"/>
          <w:szCs w:val="24"/>
        </w:rPr>
        <w:t>NPAs</w:t>
      </w:r>
      <w:bookmarkEnd w:id="60"/>
      <w:r w:rsidR="00C47606">
        <w:rPr>
          <w:rFonts w:ascii="Arial" w:hAnsi="Arial"/>
          <w:sz w:val="24"/>
          <w:szCs w:val="24"/>
        </w:rPr>
        <w:br/>
      </w:r>
    </w:p>
    <w:p w14:paraId="6EF720AC" w14:textId="6EB32CA1" w:rsidR="0069486A" w:rsidRPr="001F4D6D" w:rsidRDefault="00A86888" w:rsidP="001351F2">
      <w:pPr>
        <w:rPr>
          <w:rFonts w:ascii="Arial" w:hAnsi="Arial" w:cs="Arial"/>
        </w:rPr>
      </w:pPr>
      <w:r w:rsidRPr="00E81884">
        <w:rPr>
          <w:rFonts w:ascii="Arial" w:hAnsi="Arial" w:cs="Arial"/>
        </w:rPr>
        <w:t xml:space="preserve">Option 7B </w:t>
      </w:r>
      <w:r w:rsidR="002A2964" w:rsidRPr="00E81884">
        <w:rPr>
          <w:rFonts w:ascii="Arial" w:hAnsi="Arial" w:cs="Arial"/>
        </w:rPr>
        <w:t>makes more TN</w:t>
      </w:r>
      <w:r w:rsidR="006A0B59" w:rsidRPr="00E81884">
        <w:rPr>
          <w:rFonts w:ascii="Arial" w:hAnsi="Arial" w:cs="Arial"/>
        </w:rPr>
        <w:t>s</w:t>
      </w:r>
      <w:r w:rsidR="002A2964" w:rsidRPr="00E81884">
        <w:rPr>
          <w:rFonts w:ascii="Arial" w:hAnsi="Arial" w:cs="Arial"/>
        </w:rPr>
        <w:t xml:space="preserve"> available in unused 6YY </w:t>
      </w:r>
      <w:r w:rsidR="000561F6">
        <w:rPr>
          <w:rFonts w:ascii="Arial" w:hAnsi="Arial" w:cs="Arial"/>
        </w:rPr>
        <w:t>NPAs</w:t>
      </w:r>
      <w:r w:rsidR="000561F6" w:rsidRPr="00E81884">
        <w:rPr>
          <w:rFonts w:ascii="Arial" w:hAnsi="Arial" w:cs="Arial"/>
        </w:rPr>
        <w:t xml:space="preserve"> </w:t>
      </w:r>
      <w:r w:rsidR="002A2964" w:rsidRPr="00E81884">
        <w:rPr>
          <w:rFonts w:ascii="Arial" w:hAnsi="Arial" w:cs="Arial"/>
        </w:rPr>
        <w:t xml:space="preserve">by expanding the number of digits from </w:t>
      </w:r>
      <w:r w:rsidR="000561F6">
        <w:rPr>
          <w:rFonts w:ascii="Arial" w:hAnsi="Arial" w:cs="Arial"/>
        </w:rPr>
        <w:t>1+</w:t>
      </w:r>
      <w:r w:rsidR="002A2964" w:rsidRPr="00E81884">
        <w:rPr>
          <w:rFonts w:ascii="Arial" w:hAnsi="Arial" w:cs="Arial"/>
        </w:rPr>
        <w:t xml:space="preserve">10 to </w:t>
      </w:r>
      <w:r w:rsidR="000561F6">
        <w:rPr>
          <w:rFonts w:ascii="Arial" w:hAnsi="Arial" w:cs="Arial"/>
        </w:rPr>
        <w:t>1+14</w:t>
      </w:r>
      <w:r w:rsidR="000561F6" w:rsidRPr="00E81884">
        <w:rPr>
          <w:rFonts w:ascii="Arial" w:hAnsi="Arial" w:cs="Arial"/>
        </w:rPr>
        <w:t xml:space="preserve"> </w:t>
      </w:r>
      <w:r w:rsidR="002A2964" w:rsidRPr="00E81884">
        <w:rPr>
          <w:rFonts w:ascii="Arial" w:hAnsi="Arial" w:cs="Arial"/>
        </w:rPr>
        <w:t>(</w:t>
      </w:r>
      <w:r w:rsidR="007800BF">
        <w:rPr>
          <w:rFonts w:ascii="Arial" w:hAnsi="Arial" w:cs="Arial"/>
        </w:rPr>
        <w:t>i.e</w:t>
      </w:r>
      <w:r w:rsidR="002A2964" w:rsidRPr="00E81884">
        <w:rPr>
          <w:rFonts w:ascii="Arial" w:hAnsi="Arial" w:cs="Arial"/>
        </w:rPr>
        <w:t>., 1-</w:t>
      </w:r>
      <w:r w:rsidR="007800BF">
        <w:rPr>
          <w:rFonts w:ascii="Arial" w:hAnsi="Arial" w:cs="Arial"/>
        </w:rPr>
        <w:t>6YY</w:t>
      </w:r>
      <w:r w:rsidR="002A2964" w:rsidRPr="00E81884">
        <w:rPr>
          <w:rFonts w:ascii="Arial" w:hAnsi="Arial" w:cs="Arial"/>
        </w:rPr>
        <w:t>-</w:t>
      </w:r>
      <w:r w:rsidR="002A2964" w:rsidRPr="00E81884">
        <w:rPr>
          <w:rFonts w:ascii="Arial" w:hAnsi="Arial" w:cs="Arial"/>
          <w:b/>
          <w:bCs/>
          <w:u w:val="single"/>
        </w:rPr>
        <w:t>N</w:t>
      </w:r>
      <w:r w:rsidR="002A2964" w:rsidRPr="00E81884">
        <w:rPr>
          <w:rFonts w:ascii="Arial" w:hAnsi="Arial" w:cs="Arial"/>
        </w:rPr>
        <w:t>XX-XXX</w:t>
      </w:r>
      <w:r w:rsidR="002A2964" w:rsidRPr="00E81884">
        <w:rPr>
          <w:rFonts w:ascii="Arial" w:hAnsi="Arial" w:cs="Arial"/>
          <w:bCs/>
        </w:rPr>
        <w:t>X</w:t>
      </w:r>
      <w:r w:rsidR="002A2964" w:rsidRPr="00E81884">
        <w:rPr>
          <w:rFonts w:ascii="Arial" w:hAnsi="Arial" w:cs="Arial"/>
        </w:rPr>
        <w:t>-</w:t>
      </w:r>
      <w:r w:rsidR="002A2964" w:rsidRPr="00E81884">
        <w:rPr>
          <w:rFonts w:ascii="Arial" w:hAnsi="Arial" w:cs="Arial"/>
          <w:bCs/>
        </w:rPr>
        <w:t>X</w:t>
      </w:r>
      <w:r w:rsidR="002A2964" w:rsidRPr="00E81884">
        <w:rPr>
          <w:rFonts w:ascii="Arial" w:hAnsi="Arial" w:cs="Arial"/>
        </w:rPr>
        <w:t xml:space="preserve">XXX).  </w:t>
      </w:r>
      <w:r w:rsidR="0069486A" w:rsidRPr="00E81884">
        <w:rPr>
          <w:rFonts w:ascii="Arial" w:hAnsi="Arial" w:cs="Arial"/>
        </w:rPr>
        <w:t xml:space="preserve">This is compliant </w:t>
      </w:r>
      <w:r w:rsidR="00935DEB">
        <w:rPr>
          <w:rFonts w:ascii="Arial" w:hAnsi="Arial" w:cs="Arial"/>
        </w:rPr>
        <w:t>with</w:t>
      </w:r>
      <w:r w:rsidR="0069486A" w:rsidRPr="00E81884">
        <w:rPr>
          <w:rFonts w:ascii="Arial" w:hAnsi="Arial" w:cs="Arial"/>
        </w:rPr>
        <w:t xml:space="preserve"> ITU-T E.164 standard.</w:t>
      </w:r>
      <w:r w:rsidR="00EE2836" w:rsidRPr="00E81884">
        <w:rPr>
          <w:rFonts w:ascii="Arial" w:hAnsi="Arial" w:cs="Arial"/>
        </w:rPr>
        <w:t xml:space="preserve"> This </w:t>
      </w:r>
      <w:r w:rsidR="00B00FE6">
        <w:rPr>
          <w:rFonts w:ascii="Arial" w:hAnsi="Arial" w:cs="Arial"/>
        </w:rPr>
        <w:t>would</w:t>
      </w:r>
      <w:r w:rsidR="00B00FE6" w:rsidRPr="00E81884">
        <w:rPr>
          <w:rFonts w:ascii="Arial" w:hAnsi="Arial" w:cs="Arial"/>
        </w:rPr>
        <w:t xml:space="preserve"> </w:t>
      </w:r>
      <w:r w:rsidR="0069486A" w:rsidRPr="00E81884">
        <w:rPr>
          <w:rFonts w:ascii="Arial" w:hAnsi="Arial" w:cs="Arial"/>
        </w:rPr>
        <w:t xml:space="preserve">increase the quantity of telephone numbers by a factor of </w:t>
      </w:r>
      <w:r w:rsidR="00FF0DEC">
        <w:rPr>
          <w:rFonts w:ascii="Arial" w:hAnsi="Arial" w:cs="Arial"/>
        </w:rPr>
        <w:t>10</w:t>
      </w:r>
      <w:r w:rsidR="00770ACE" w:rsidRPr="00E81884">
        <w:rPr>
          <w:rFonts w:ascii="Arial" w:hAnsi="Arial" w:cs="Arial"/>
        </w:rPr>
        <w:t>,000</w:t>
      </w:r>
      <w:r w:rsidR="0069486A" w:rsidRPr="00E81884">
        <w:rPr>
          <w:rFonts w:ascii="Arial" w:hAnsi="Arial" w:cs="Arial"/>
        </w:rPr>
        <w:t xml:space="preserve">, so each </w:t>
      </w:r>
      <w:proofErr w:type="gramStart"/>
      <w:r w:rsidR="0065168E">
        <w:rPr>
          <w:rFonts w:ascii="Arial" w:hAnsi="Arial" w:cs="Arial"/>
        </w:rPr>
        <w:t>1+14 digit</w:t>
      </w:r>
      <w:proofErr w:type="gramEnd"/>
      <w:r w:rsidR="0065168E">
        <w:rPr>
          <w:rFonts w:ascii="Arial" w:hAnsi="Arial" w:cs="Arial"/>
        </w:rPr>
        <w:t xml:space="preserve"> </w:t>
      </w:r>
      <w:r w:rsidR="0069486A" w:rsidRPr="00E81884">
        <w:rPr>
          <w:rFonts w:ascii="Arial" w:hAnsi="Arial" w:cs="Arial"/>
        </w:rPr>
        <w:t xml:space="preserve">6YY </w:t>
      </w:r>
      <w:r w:rsidR="005A5121">
        <w:rPr>
          <w:rFonts w:ascii="Arial" w:hAnsi="Arial" w:cs="Arial"/>
        </w:rPr>
        <w:t>NPA</w:t>
      </w:r>
      <w:r w:rsidR="005A5121" w:rsidRPr="00E81884">
        <w:rPr>
          <w:rFonts w:ascii="Arial" w:hAnsi="Arial" w:cs="Arial"/>
        </w:rPr>
        <w:t xml:space="preserve"> </w:t>
      </w:r>
      <w:r w:rsidR="0069486A" w:rsidRPr="00E81884">
        <w:rPr>
          <w:rFonts w:ascii="Arial" w:hAnsi="Arial" w:cs="Arial"/>
        </w:rPr>
        <w:t xml:space="preserve">would have about </w:t>
      </w:r>
      <w:r w:rsidR="00770ACE" w:rsidRPr="00E81884">
        <w:rPr>
          <w:rFonts w:ascii="Arial" w:hAnsi="Arial" w:cs="Arial"/>
        </w:rPr>
        <w:t>80 billion</w:t>
      </w:r>
      <w:r w:rsidR="0069486A" w:rsidRPr="00E81884">
        <w:rPr>
          <w:rFonts w:ascii="Arial" w:hAnsi="Arial" w:cs="Arial"/>
        </w:rPr>
        <w:t xml:space="preserve"> TNs.</w:t>
      </w:r>
    </w:p>
    <w:p w14:paraId="19AD5E72" w14:textId="13CAF145" w:rsidR="00EB7741" w:rsidRDefault="00EB7741" w:rsidP="001351F2">
      <w:pPr>
        <w:rPr>
          <w:rFonts w:ascii="Arial" w:hAnsi="Arial" w:cs="Arial"/>
        </w:rPr>
      </w:pPr>
      <w:r w:rsidRPr="00E81884">
        <w:rPr>
          <w:rFonts w:ascii="Arial" w:hAnsi="Arial" w:cs="Arial"/>
        </w:rPr>
        <w:t xml:space="preserve">Even more TNs can be made available by unlocking the D-digit </w:t>
      </w:r>
      <w:r w:rsidR="009B56E9" w:rsidRPr="00E81884">
        <w:rPr>
          <w:rFonts w:ascii="Arial" w:hAnsi="Arial" w:cs="Arial"/>
        </w:rPr>
        <w:t xml:space="preserve">so that it can be any value from 0 to 9 </w:t>
      </w:r>
      <w:r w:rsidRPr="00E81884">
        <w:rPr>
          <w:rFonts w:ascii="Arial" w:hAnsi="Arial" w:cs="Arial"/>
        </w:rPr>
        <w:t>(</w:t>
      </w:r>
      <w:r w:rsidR="007800BF">
        <w:rPr>
          <w:rFonts w:ascii="Arial" w:hAnsi="Arial" w:cs="Arial"/>
        </w:rPr>
        <w:t>i.e</w:t>
      </w:r>
      <w:r w:rsidRPr="00E81884">
        <w:rPr>
          <w:rFonts w:ascii="Arial" w:hAnsi="Arial" w:cs="Arial"/>
        </w:rPr>
        <w:t>., 1-</w:t>
      </w:r>
      <w:r w:rsidR="007800BF" w:rsidRPr="00E81884">
        <w:rPr>
          <w:rFonts w:ascii="Arial" w:hAnsi="Arial" w:cs="Arial"/>
        </w:rPr>
        <w:t>6</w:t>
      </w:r>
      <w:r w:rsidR="007800BF">
        <w:rPr>
          <w:rFonts w:ascii="Arial" w:hAnsi="Arial" w:cs="Arial"/>
        </w:rPr>
        <w:t>YY</w:t>
      </w:r>
      <w:r w:rsidRPr="00E81884">
        <w:rPr>
          <w:rFonts w:ascii="Arial" w:hAnsi="Arial" w:cs="Arial"/>
        </w:rPr>
        <w:t>-</w:t>
      </w:r>
      <w:r w:rsidR="009B56E9" w:rsidRPr="00E81884">
        <w:rPr>
          <w:rFonts w:ascii="Arial" w:hAnsi="Arial" w:cs="Arial"/>
          <w:b/>
          <w:bCs/>
          <w:u w:val="single"/>
        </w:rPr>
        <w:t>X</w:t>
      </w:r>
      <w:r w:rsidRPr="00E81884">
        <w:rPr>
          <w:rFonts w:ascii="Arial" w:hAnsi="Arial" w:cs="Arial"/>
        </w:rPr>
        <w:t>XX-XXX</w:t>
      </w:r>
      <w:r w:rsidRPr="00E81884">
        <w:rPr>
          <w:rFonts w:ascii="Arial" w:hAnsi="Arial" w:cs="Arial"/>
          <w:bCs/>
        </w:rPr>
        <w:t>X</w:t>
      </w:r>
      <w:r w:rsidRPr="00E81884">
        <w:rPr>
          <w:rFonts w:ascii="Arial" w:hAnsi="Arial" w:cs="Arial"/>
        </w:rPr>
        <w:t>-</w:t>
      </w:r>
      <w:r w:rsidRPr="00E81884">
        <w:rPr>
          <w:rFonts w:ascii="Arial" w:hAnsi="Arial" w:cs="Arial"/>
          <w:bCs/>
        </w:rPr>
        <w:t>X</w:t>
      </w:r>
      <w:r w:rsidRPr="00E81884">
        <w:rPr>
          <w:rFonts w:ascii="Arial" w:hAnsi="Arial" w:cs="Arial"/>
        </w:rPr>
        <w:t xml:space="preserve">XXX).  This is compliant </w:t>
      </w:r>
      <w:r w:rsidR="00935DEB">
        <w:rPr>
          <w:rFonts w:ascii="Arial" w:hAnsi="Arial" w:cs="Arial"/>
        </w:rPr>
        <w:t>with</w:t>
      </w:r>
      <w:r w:rsidRPr="00E81884">
        <w:rPr>
          <w:rFonts w:ascii="Arial" w:hAnsi="Arial" w:cs="Arial"/>
        </w:rPr>
        <w:t xml:space="preserve"> ITU-T E.164 standard. This </w:t>
      </w:r>
      <w:r w:rsidR="00B00FE6">
        <w:rPr>
          <w:rFonts w:ascii="Arial" w:hAnsi="Arial" w:cs="Arial"/>
        </w:rPr>
        <w:t>would</w:t>
      </w:r>
      <w:r w:rsidR="00B00FE6" w:rsidRPr="00E81884">
        <w:rPr>
          <w:rFonts w:ascii="Arial" w:hAnsi="Arial" w:cs="Arial"/>
        </w:rPr>
        <w:t xml:space="preserve"> </w:t>
      </w:r>
      <w:r w:rsidRPr="00E81884">
        <w:rPr>
          <w:rFonts w:ascii="Arial" w:hAnsi="Arial" w:cs="Arial"/>
        </w:rPr>
        <w:t>increase the quantity of telephone numbers by a</w:t>
      </w:r>
      <w:r w:rsidR="001807ED" w:rsidRPr="00E81884">
        <w:rPr>
          <w:rFonts w:ascii="Arial" w:hAnsi="Arial" w:cs="Arial"/>
        </w:rPr>
        <w:t xml:space="preserve">n incremental </w:t>
      </w:r>
      <w:r w:rsidR="00530409" w:rsidRPr="00E81884">
        <w:rPr>
          <w:rFonts w:ascii="Arial" w:hAnsi="Arial" w:cs="Arial"/>
        </w:rPr>
        <w:t>20 billion</w:t>
      </w:r>
      <w:r w:rsidRPr="00E81884">
        <w:rPr>
          <w:rFonts w:ascii="Arial" w:hAnsi="Arial" w:cs="Arial"/>
        </w:rPr>
        <w:t xml:space="preserve"> so each</w:t>
      </w:r>
      <w:r w:rsidR="00FE5148">
        <w:rPr>
          <w:rFonts w:ascii="Arial" w:hAnsi="Arial" w:cs="Arial"/>
        </w:rPr>
        <w:t xml:space="preserve"> affected</w:t>
      </w:r>
      <w:r w:rsidRPr="00E81884">
        <w:rPr>
          <w:rFonts w:ascii="Arial" w:hAnsi="Arial" w:cs="Arial"/>
        </w:rPr>
        <w:t xml:space="preserve"> 6YY </w:t>
      </w:r>
      <w:r w:rsidR="005A5121">
        <w:rPr>
          <w:rFonts w:ascii="Arial" w:hAnsi="Arial" w:cs="Arial"/>
        </w:rPr>
        <w:t>NPA</w:t>
      </w:r>
      <w:r w:rsidR="005A5121" w:rsidRPr="00E81884">
        <w:rPr>
          <w:rFonts w:ascii="Arial" w:hAnsi="Arial" w:cs="Arial"/>
        </w:rPr>
        <w:t xml:space="preserve"> </w:t>
      </w:r>
      <w:r w:rsidRPr="00E81884">
        <w:rPr>
          <w:rFonts w:ascii="Arial" w:hAnsi="Arial" w:cs="Arial"/>
        </w:rPr>
        <w:t xml:space="preserve">would have about </w:t>
      </w:r>
      <w:r w:rsidR="00964144" w:rsidRPr="00E81884">
        <w:rPr>
          <w:rFonts w:ascii="Arial" w:hAnsi="Arial" w:cs="Arial"/>
        </w:rPr>
        <w:t>100</w:t>
      </w:r>
      <w:r w:rsidR="00530409" w:rsidRPr="00E81884">
        <w:rPr>
          <w:rFonts w:ascii="Arial" w:hAnsi="Arial" w:cs="Arial"/>
        </w:rPr>
        <w:t xml:space="preserve"> billion</w:t>
      </w:r>
      <w:r w:rsidRPr="00E81884">
        <w:rPr>
          <w:rFonts w:ascii="Arial" w:hAnsi="Arial" w:cs="Arial"/>
        </w:rPr>
        <w:t xml:space="preserve"> TNs.</w:t>
      </w:r>
    </w:p>
    <w:p w14:paraId="2B0D0DE9" w14:textId="77777777" w:rsidR="002D35C7" w:rsidRDefault="002D35C7" w:rsidP="001351F2">
      <w:pPr>
        <w:rPr>
          <w:rFonts w:ascii="Arial" w:hAnsi="Arial" w:cs="Arial"/>
        </w:rPr>
      </w:pPr>
    </w:p>
    <w:p w14:paraId="2EDB7CF6" w14:textId="77777777" w:rsidR="008B136D" w:rsidRDefault="008B136D" w:rsidP="001351F2">
      <w:pPr>
        <w:pStyle w:val="Heading1"/>
        <w:numPr>
          <w:ilvl w:val="0"/>
          <w:numId w:val="44"/>
        </w:numPr>
        <w:rPr>
          <w:rFonts w:ascii="Arial" w:hAnsi="Arial"/>
          <w:sz w:val="24"/>
          <w:szCs w:val="24"/>
        </w:rPr>
      </w:pPr>
      <w:bookmarkStart w:id="61" w:name="_Toc153875017"/>
      <w:bookmarkStart w:id="62" w:name="_Toc153875018"/>
      <w:bookmarkStart w:id="63" w:name="_Toc156387048"/>
      <w:bookmarkStart w:id="64" w:name="_Toc162946404"/>
      <w:bookmarkEnd w:id="61"/>
      <w:bookmarkEnd w:id="62"/>
      <w:r>
        <w:rPr>
          <w:rFonts w:ascii="Arial" w:hAnsi="Arial"/>
          <w:sz w:val="24"/>
          <w:szCs w:val="24"/>
        </w:rPr>
        <w:t>Analysis</w:t>
      </w:r>
      <w:bookmarkEnd w:id="63"/>
      <w:bookmarkEnd w:id="64"/>
    </w:p>
    <w:p w14:paraId="3555B0A0" w14:textId="77777777" w:rsidR="0060138A" w:rsidRDefault="0060138A" w:rsidP="001351F2"/>
    <w:p w14:paraId="3365BA00" w14:textId="5EAA2729" w:rsidR="008A40EC" w:rsidRPr="006E33C3" w:rsidRDefault="00715C75" w:rsidP="001351F2">
      <w:pPr>
        <w:spacing w:after="0" w:line="240" w:lineRule="auto"/>
        <w:rPr>
          <w:rFonts w:ascii="Arial" w:hAnsi="Arial" w:cs="Arial"/>
        </w:rPr>
      </w:pPr>
      <w:r w:rsidRPr="006E33C3">
        <w:rPr>
          <w:rFonts w:ascii="Arial" w:hAnsi="Arial" w:cs="Arial"/>
        </w:rPr>
        <w:t xml:space="preserve">The following analysis </w:t>
      </w:r>
      <w:r w:rsidR="008367F8" w:rsidRPr="006E33C3">
        <w:rPr>
          <w:rFonts w:ascii="Arial" w:hAnsi="Arial" w:cs="Arial"/>
        </w:rPr>
        <w:t xml:space="preserve">estimates by how much </w:t>
      </w:r>
      <w:r w:rsidRPr="006E33C3">
        <w:rPr>
          <w:rFonts w:ascii="Arial" w:hAnsi="Arial" w:cs="Arial"/>
        </w:rPr>
        <w:t xml:space="preserve">each of the various options </w:t>
      </w:r>
      <w:r w:rsidR="008367F8" w:rsidRPr="006E33C3">
        <w:rPr>
          <w:rFonts w:ascii="Arial" w:hAnsi="Arial" w:cs="Arial"/>
        </w:rPr>
        <w:t xml:space="preserve">presented above </w:t>
      </w:r>
      <w:r w:rsidRPr="006E33C3">
        <w:rPr>
          <w:rFonts w:ascii="Arial" w:hAnsi="Arial" w:cs="Arial"/>
        </w:rPr>
        <w:t xml:space="preserve">will </w:t>
      </w:r>
      <w:r w:rsidR="008367F8" w:rsidRPr="006E33C3">
        <w:rPr>
          <w:rFonts w:ascii="Arial" w:hAnsi="Arial" w:cs="Arial"/>
        </w:rPr>
        <w:t xml:space="preserve">delay the exhaust date of </w:t>
      </w:r>
      <w:r w:rsidR="00510414">
        <w:rPr>
          <w:rFonts w:ascii="Arial" w:hAnsi="Arial" w:cs="Arial"/>
        </w:rPr>
        <w:t xml:space="preserve">current </w:t>
      </w:r>
      <w:r w:rsidR="008367F8" w:rsidRPr="006E33C3">
        <w:rPr>
          <w:rFonts w:ascii="Arial" w:hAnsi="Arial" w:cs="Arial"/>
        </w:rPr>
        <w:t xml:space="preserve">Canadian non-geographic </w:t>
      </w:r>
      <w:r w:rsidR="00510414">
        <w:rPr>
          <w:rFonts w:ascii="Arial" w:hAnsi="Arial" w:cs="Arial"/>
        </w:rPr>
        <w:t xml:space="preserve">6YY </w:t>
      </w:r>
      <w:r w:rsidR="00570B0E">
        <w:rPr>
          <w:rFonts w:ascii="Arial" w:hAnsi="Arial" w:cs="Arial"/>
        </w:rPr>
        <w:t>N</w:t>
      </w:r>
      <w:r w:rsidR="0007116C">
        <w:rPr>
          <w:rFonts w:ascii="Arial" w:hAnsi="Arial" w:cs="Arial"/>
        </w:rPr>
        <w:t>PAs</w:t>
      </w:r>
      <w:r w:rsidR="00570B0E">
        <w:rPr>
          <w:rFonts w:ascii="Arial" w:hAnsi="Arial" w:cs="Arial"/>
        </w:rPr>
        <w:t xml:space="preserve"> </w:t>
      </w:r>
      <w:r w:rsidR="0007116C">
        <w:rPr>
          <w:rFonts w:ascii="Arial" w:hAnsi="Arial" w:cs="Arial"/>
        </w:rPr>
        <w:t xml:space="preserve">(the last 6YY NPA is forecast to </w:t>
      </w:r>
      <w:r w:rsidR="000A30F2">
        <w:rPr>
          <w:rFonts w:ascii="Arial" w:hAnsi="Arial" w:cs="Arial"/>
        </w:rPr>
        <w:t>be assigned in 2029 based on the July 2023 NRUF)</w:t>
      </w:r>
      <w:r w:rsidR="008367F8" w:rsidRPr="006E33C3">
        <w:rPr>
          <w:rFonts w:ascii="Arial" w:hAnsi="Arial" w:cs="Arial"/>
        </w:rPr>
        <w:t xml:space="preserve"> and</w:t>
      </w:r>
      <w:proofErr w:type="gramStart"/>
      <w:r w:rsidR="008367F8" w:rsidRPr="006E33C3">
        <w:rPr>
          <w:rFonts w:ascii="Arial" w:hAnsi="Arial" w:cs="Arial"/>
        </w:rPr>
        <w:t>, in particular, whether</w:t>
      </w:r>
      <w:proofErr w:type="gramEnd"/>
      <w:r w:rsidR="008367F8" w:rsidRPr="006E33C3">
        <w:rPr>
          <w:rFonts w:ascii="Arial" w:hAnsi="Arial" w:cs="Arial"/>
        </w:rPr>
        <w:t xml:space="preserve"> they </w:t>
      </w:r>
      <w:r w:rsidR="000B3CAB" w:rsidRPr="006E33C3">
        <w:rPr>
          <w:rFonts w:ascii="Arial" w:hAnsi="Arial" w:cs="Arial"/>
        </w:rPr>
        <w:t>w</w:t>
      </w:r>
      <w:r w:rsidR="000B3CAB">
        <w:rPr>
          <w:rFonts w:ascii="Arial" w:hAnsi="Arial" w:cs="Arial"/>
        </w:rPr>
        <w:t>ould</w:t>
      </w:r>
      <w:r w:rsidR="000B3CAB" w:rsidRPr="006E33C3">
        <w:rPr>
          <w:rFonts w:ascii="Arial" w:hAnsi="Arial" w:cs="Arial"/>
        </w:rPr>
        <w:t xml:space="preserve"> </w:t>
      </w:r>
      <w:r w:rsidR="008367F8" w:rsidRPr="006E33C3">
        <w:rPr>
          <w:rFonts w:ascii="Arial" w:hAnsi="Arial" w:cs="Arial"/>
        </w:rPr>
        <w:t>delay the exhaust until 2051.  This is the predicted exhaust date of the entire NANP, by which time some sort of relief is expected for the entire NANP.  Although relief</w:t>
      </w:r>
      <w:r w:rsidR="000948C3" w:rsidRPr="006E33C3">
        <w:rPr>
          <w:rFonts w:ascii="Arial" w:hAnsi="Arial" w:cs="Arial"/>
        </w:rPr>
        <w:t xml:space="preserve"> of the NANP</w:t>
      </w:r>
      <w:r w:rsidR="008367F8" w:rsidRPr="006E33C3">
        <w:rPr>
          <w:rFonts w:ascii="Arial" w:hAnsi="Arial" w:cs="Arial"/>
        </w:rPr>
        <w:t xml:space="preserve"> will be planned for an effective date before 2051, </w:t>
      </w:r>
      <w:r w:rsidR="006F735E" w:rsidRPr="006E33C3">
        <w:rPr>
          <w:rFonts w:ascii="Arial" w:hAnsi="Arial" w:cs="Arial"/>
        </w:rPr>
        <w:t>the</w:t>
      </w:r>
      <w:r w:rsidR="008367F8" w:rsidRPr="006E33C3">
        <w:rPr>
          <w:rFonts w:ascii="Arial" w:hAnsi="Arial" w:cs="Arial"/>
        </w:rPr>
        <w:t xml:space="preserve"> </w:t>
      </w:r>
      <w:r w:rsidR="006F735E" w:rsidRPr="006E33C3">
        <w:rPr>
          <w:rFonts w:ascii="Arial" w:hAnsi="Arial" w:cs="Arial"/>
        </w:rPr>
        <w:t xml:space="preserve">following </w:t>
      </w:r>
      <w:r w:rsidR="008367F8" w:rsidRPr="006E33C3">
        <w:rPr>
          <w:rFonts w:ascii="Arial" w:hAnsi="Arial" w:cs="Arial"/>
        </w:rPr>
        <w:t xml:space="preserve">analysis assumes that it will not be ready by 2030, </w:t>
      </w:r>
      <w:r w:rsidR="000948C3" w:rsidRPr="006E33C3">
        <w:rPr>
          <w:rFonts w:ascii="Arial" w:hAnsi="Arial" w:cs="Arial"/>
        </w:rPr>
        <w:t xml:space="preserve">which is </w:t>
      </w:r>
      <w:r w:rsidR="008367F8" w:rsidRPr="006E33C3">
        <w:rPr>
          <w:rFonts w:ascii="Arial" w:hAnsi="Arial" w:cs="Arial"/>
        </w:rPr>
        <w:t xml:space="preserve">the current exhaust date for the Canadian 6YY </w:t>
      </w:r>
      <w:r w:rsidR="00FF2C9C">
        <w:rPr>
          <w:rFonts w:ascii="Arial" w:hAnsi="Arial" w:cs="Arial"/>
        </w:rPr>
        <w:t>NPAs</w:t>
      </w:r>
      <w:r w:rsidR="008367F8" w:rsidRPr="006E33C3">
        <w:rPr>
          <w:rFonts w:ascii="Arial" w:hAnsi="Arial" w:cs="Arial"/>
        </w:rPr>
        <w:t>.</w:t>
      </w:r>
      <w:r w:rsidR="006F735E" w:rsidRPr="006E33C3">
        <w:rPr>
          <w:rFonts w:ascii="Arial" w:hAnsi="Arial" w:cs="Arial"/>
        </w:rPr>
        <w:t xml:space="preserve"> </w:t>
      </w:r>
      <w:r w:rsidR="008A40EC" w:rsidRPr="006E33C3">
        <w:rPr>
          <w:rFonts w:ascii="Arial" w:hAnsi="Arial" w:cs="Arial"/>
        </w:rPr>
        <w:t xml:space="preserve"> </w:t>
      </w:r>
    </w:p>
    <w:p w14:paraId="609D5D9A" w14:textId="77777777" w:rsidR="008A40EC" w:rsidRPr="006E33C3" w:rsidRDefault="008A40EC" w:rsidP="001351F2">
      <w:pPr>
        <w:spacing w:after="0" w:line="240" w:lineRule="auto"/>
        <w:rPr>
          <w:rFonts w:ascii="Arial" w:hAnsi="Arial" w:cs="Arial"/>
        </w:rPr>
      </w:pPr>
    </w:p>
    <w:p w14:paraId="101CC15A" w14:textId="77777777" w:rsidR="006F735E" w:rsidRPr="006E33C3" w:rsidRDefault="006F735E" w:rsidP="001351F2">
      <w:pPr>
        <w:spacing w:after="0" w:line="240" w:lineRule="auto"/>
        <w:rPr>
          <w:rFonts w:ascii="Arial" w:hAnsi="Arial" w:cs="Arial"/>
        </w:rPr>
      </w:pPr>
      <w:r w:rsidRPr="006E33C3">
        <w:rPr>
          <w:rFonts w:ascii="Arial" w:hAnsi="Arial" w:cs="Arial"/>
        </w:rPr>
        <w:t xml:space="preserve">This analysis </w:t>
      </w:r>
      <w:r w:rsidR="00075091" w:rsidRPr="006E33C3">
        <w:rPr>
          <w:rFonts w:ascii="Arial" w:hAnsi="Arial" w:cs="Arial"/>
        </w:rPr>
        <w:t>categorizes</w:t>
      </w:r>
      <w:r w:rsidRPr="006E33C3">
        <w:rPr>
          <w:rFonts w:ascii="Arial" w:hAnsi="Arial" w:cs="Arial"/>
        </w:rPr>
        <w:t xml:space="preserve"> each option by one of the following solution types.</w:t>
      </w:r>
      <w:r w:rsidR="00366CB8">
        <w:rPr>
          <w:rFonts w:ascii="Arial" w:hAnsi="Arial" w:cs="Arial"/>
        </w:rPr>
        <w:br/>
      </w:r>
    </w:p>
    <w:p w14:paraId="3A325C75" w14:textId="77777777" w:rsidR="00102586" w:rsidRPr="00F00180" w:rsidRDefault="00715C75" w:rsidP="001351F2">
      <w:pPr>
        <w:pStyle w:val="ListParagraph"/>
        <w:numPr>
          <w:ilvl w:val="0"/>
          <w:numId w:val="35"/>
        </w:numPr>
        <w:rPr>
          <w:rFonts w:ascii="Arial" w:hAnsi="Arial"/>
          <w:lang w:val="en-CA"/>
        </w:rPr>
      </w:pPr>
      <w:r w:rsidRPr="00F00180">
        <w:rPr>
          <w:rFonts w:ascii="Arial" w:hAnsi="Arial"/>
          <w:b/>
          <w:sz w:val="22"/>
          <w:lang w:val="en-CA"/>
        </w:rPr>
        <w:t>Full solutions</w:t>
      </w:r>
      <w:r w:rsidRPr="00F00180">
        <w:rPr>
          <w:rFonts w:ascii="Arial" w:hAnsi="Arial"/>
          <w:sz w:val="22"/>
          <w:lang w:val="en-CA"/>
        </w:rPr>
        <w:t xml:space="preserve"> are those that are expected to provide sufficient non-geographic numbers for Canada’s needs </w:t>
      </w:r>
      <w:r w:rsidR="006F735E" w:rsidRPr="00F00180">
        <w:rPr>
          <w:rFonts w:ascii="Arial" w:hAnsi="Arial"/>
          <w:sz w:val="22"/>
          <w:lang w:val="en-CA"/>
        </w:rPr>
        <w:t>until the NANPE relief date</w:t>
      </w:r>
      <w:r w:rsidRPr="00F00180">
        <w:rPr>
          <w:rFonts w:ascii="Arial" w:hAnsi="Arial"/>
          <w:sz w:val="22"/>
          <w:lang w:val="en-CA"/>
        </w:rPr>
        <w:t xml:space="preserve">, </w:t>
      </w:r>
      <w:r w:rsidR="006F735E" w:rsidRPr="00F00180">
        <w:rPr>
          <w:rFonts w:ascii="Arial" w:hAnsi="Arial"/>
          <w:sz w:val="22"/>
          <w:lang w:val="en-CA"/>
        </w:rPr>
        <w:t xml:space="preserve">that </w:t>
      </w:r>
      <w:r w:rsidRPr="00F00180">
        <w:rPr>
          <w:rFonts w:ascii="Arial" w:hAnsi="Arial"/>
          <w:sz w:val="22"/>
          <w:lang w:val="en-CA"/>
        </w:rPr>
        <w:t xml:space="preserve">support inter-network communication </w:t>
      </w:r>
      <w:r w:rsidR="00760030" w:rsidRPr="00F00180">
        <w:rPr>
          <w:rFonts w:ascii="Arial" w:hAnsi="Arial"/>
          <w:sz w:val="22"/>
          <w:lang w:val="en-CA"/>
        </w:rPr>
        <w:t xml:space="preserve">between non-geographic IoT applications </w:t>
      </w:r>
      <w:r w:rsidRPr="00F00180">
        <w:rPr>
          <w:rFonts w:ascii="Arial" w:hAnsi="Arial"/>
          <w:sz w:val="22"/>
          <w:lang w:val="en-CA"/>
        </w:rPr>
        <w:t>and</w:t>
      </w:r>
      <w:r w:rsidR="006F735E" w:rsidRPr="00F00180">
        <w:rPr>
          <w:rFonts w:ascii="Arial" w:hAnsi="Arial"/>
          <w:sz w:val="22"/>
          <w:lang w:val="en-CA"/>
        </w:rPr>
        <w:t xml:space="preserve"> that</w:t>
      </w:r>
      <w:r w:rsidRPr="00F00180">
        <w:rPr>
          <w:rFonts w:ascii="Arial" w:hAnsi="Arial"/>
          <w:sz w:val="22"/>
          <w:lang w:val="en-CA"/>
        </w:rPr>
        <w:t xml:space="preserve"> can be achieved by the Commission and the Canadian industry </w:t>
      </w:r>
      <w:r w:rsidR="006F735E" w:rsidRPr="00F00180">
        <w:rPr>
          <w:rFonts w:ascii="Arial" w:hAnsi="Arial"/>
          <w:sz w:val="22"/>
          <w:lang w:val="en-CA"/>
        </w:rPr>
        <w:t xml:space="preserve">independently </w:t>
      </w:r>
      <w:r w:rsidRPr="00F00180">
        <w:rPr>
          <w:rFonts w:ascii="Arial" w:hAnsi="Arial"/>
          <w:sz w:val="22"/>
          <w:lang w:val="en-CA"/>
        </w:rPr>
        <w:t xml:space="preserve">(i.e., with no </w:t>
      </w:r>
      <w:r w:rsidR="006F735E" w:rsidRPr="00F00180">
        <w:rPr>
          <w:rFonts w:ascii="Arial" w:hAnsi="Arial"/>
          <w:sz w:val="22"/>
          <w:lang w:val="en-CA"/>
        </w:rPr>
        <w:t xml:space="preserve">reliance </w:t>
      </w:r>
      <w:r w:rsidRPr="00F00180">
        <w:rPr>
          <w:rFonts w:ascii="Arial" w:hAnsi="Arial"/>
          <w:sz w:val="22"/>
          <w:lang w:val="en-CA"/>
        </w:rPr>
        <w:t>on NANPA)</w:t>
      </w:r>
      <w:r w:rsidR="006F735E" w:rsidRPr="00F00180">
        <w:rPr>
          <w:rFonts w:ascii="Arial" w:hAnsi="Arial"/>
          <w:sz w:val="22"/>
          <w:lang w:val="en-CA"/>
        </w:rPr>
        <w:t>.</w:t>
      </w:r>
      <w:r w:rsidRPr="00F00180">
        <w:rPr>
          <w:rFonts w:ascii="Arial" w:hAnsi="Arial"/>
          <w:sz w:val="22"/>
          <w:lang w:val="en-CA"/>
        </w:rPr>
        <w:t xml:space="preserve">  </w:t>
      </w:r>
      <w:r w:rsidR="00366CB8" w:rsidRPr="00F00180">
        <w:rPr>
          <w:rFonts w:ascii="Arial" w:hAnsi="Arial"/>
          <w:sz w:val="22"/>
          <w:lang w:val="en-CA"/>
        </w:rPr>
        <w:br/>
      </w:r>
    </w:p>
    <w:p w14:paraId="3911C846" w14:textId="77777777" w:rsidR="006F735E" w:rsidRPr="00F00180" w:rsidRDefault="00102586" w:rsidP="001351F2">
      <w:pPr>
        <w:pStyle w:val="ListParagraph"/>
        <w:numPr>
          <w:ilvl w:val="0"/>
          <w:numId w:val="35"/>
        </w:numPr>
        <w:rPr>
          <w:rFonts w:ascii="Arial" w:hAnsi="Arial"/>
          <w:lang w:val="en-CA"/>
        </w:rPr>
      </w:pPr>
      <w:r w:rsidRPr="00F00180">
        <w:rPr>
          <w:rFonts w:ascii="Arial" w:hAnsi="Arial"/>
          <w:b/>
          <w:sz w:val="22"/>
          <w:lang w:val="en-CA"/>
        </w:rPr>
        <w:t>Partial</w:t>
      </w:r>
      <w:r w:rsidR="006F735E" w:rsidRPr="00F00180">
        <w:rPr>
          <w:rFonts w:ascii="Arial" w:hAnsi="Arial"/>
          <w:b/>
          <w:sz w:val="22"/>
          <w:lang w:val="en-CA"/>
        </w:rPr>
        <w:t xml:space="preserve"> solutions</w:t>
      </w:r>
      <w:r w:rsidR="006F735E" w:rsidRPr="00F00180">
        <w:rPr>
          <w:rFonts w:ascii="Arial" w:hAnsi="Arial"/>
          <w:sz w:val="22"/>
          <w:lang w:val="en-CA"/>
        </w:rPr>
        <w:t xml:space="preserve"> are those that support inter-network communication;</w:t>
      </w:r>
      <w:r w:rsidR="00973FB8" w:rsidRPr="00F00180">
        <w:rPr>
          <w:rFonts w:ascii="Arial" w:hAnsi="Arial"/>
          <w:sz w:val="22"/>
          <w:lang w:val="en-CA"/>
        </w:rPr>
        <w:t xml:space="preserve"> but</w:t>
      </w:r>
      <w:r w:rsidR="006F735E" w:rsidRPr="00F00180">
        <w:rPr>
          <w:rFonts w:ascii="Arial" w:hAnsi="Arial"/>
          <w:sz w:val="22"/>
          <w:lang w:val="en-CA"/>
        </w:rPr>
        <w:t xml:space="preserve"> that</w:t>
      </w:r>
      <w:r w:rsidR="00973FB8" w:rsidRPr="00F00180">
        <w:rPr>
          <w:rFonts w:ascii="Arial" w:hAnsi="Arial"/>
          <w:sz w:val="22"/>
          <w:lang w:val="en-CA"/>
        </w:rPr>
        <w:t xml:space="preserve"> cannot necessarily </w:t>
      </w:r>
      <w:r w:rsidR="006F735E" w:rsidRPr="00F00180">
        <w:rPr>
          <w:rFonts w:ascii="Arial" w:hAnsi="Arial"/>
          <w:sz w:val="22"/>
          <w:lang w:val="en-CA"/>
        </w:rPr>
        <w:t xml:space="preserve">be achieved by the Commission and the Canadian industry independently </w:t>
      </w:r>
      <w:r w:rsidR="00973FB8" w:rsidRPr="00F00180">
        <w:rPr>
          <w:rFonts w:ascii="Arial" w:hAnsi="Arial"/>
          <w:sz w:val="22"/>
          <w:lang w:val="en-CA"/>
        </w:rPr>
        <w:t>and/or t</w:t>
      </w:r>
      <w:r w:rsidR="006F735E" w:rsidRPr="00F00180">
        <w:rPr>
          <w:rFonts w:ascii="Arial" w:hAnsi="Arial"/>
          <w:sz w:val="22"/>
          <w:lang w:val="en-CA"/>
        </w:rPr>
        <w:t xml:space="preserve">hat provide only limited relief.  </w:t>
      </w:r>
      <w:r w:rsidR="00923938" w:rsidRPr="00F00180">
        <w:rPr>
          <w:rFonts w:ascii="Arial" w:hAnsi="Arial"/>
          <w:sz w:val="22"/>
          <w:lang w:val="en-CA"/>
        </w:rPr>
        <w:t>Partial</w:t>
      </w:r>
      <w:r w:rsidR="006F735E" w:rsidRPr="00F00180">
        <w:rPr>
          <w:rFonts w:ascii="Arial" w:hAnsi="Arial"/>
          <w:sz w:val="22"/>
          <w:lang w:val="en-CA"/>
        </w:rPr>
        <w:t xml:space="preserve"> solutions </w:t>
      </w:r>
      <w:r w:rsidR="00923938" w:rsidRPr="00F00180">
        <w:rPr>
          <w:rFonts w:ascii="Arial" w:hAnsi="Arial"/>
          <w:sz w:val="22"/>
          <w:lang w:val="en-CA"/>
        </w:rPr>
        <w:t>may be</w:t>
      </w:r>
      <w:r w:rsidR="00DC6421" w:rsidRPr="00F00180">
        <w:rPr>
          <w:rFonts w:ascii="Arial" w:hAnsi="Arial"/>
          <w:sz w:val="22"/>
          <w:lang w:val="en-CA"/>
        </w:rPr>
        <w:t xml:space="preserve"> </w:t>
      </w:r>
      <w:r w:rsidR="006F735E" w:rsidRPr="00F00180">
        <w:rPr>
          <w:rFonts w:ascii="Arial" w:hAnsi="Arial"/>
          <w:sz w:val="22"/>
          <w:lang w:val="en-CA"/>
        </w:rPr>
        <w:t>quicker to implement</w:t>
      </w:r>
      <w:r w:rsidR="00DC6421" w:rsidRPr="00F00180">
        <w:rPr>
          <w:rFonts w:ascii="Arial" w:hAnsi="Arial"/>
          <w:sz w:val="22"/>
          <w:lang w:val="en-CA"/>
        </w:rPr>
        <w:t>,</w:t>
      </w:r>
      <w:r w:rsidR="006F735E" w:rsidRPr="00F00180">
        <w:rPr>
          <w:rFonts w:ascii="Arial" w:hAnsi="Arial"/>
          <w:sz w:val="22"/>
          <w:lang w:val="en-CA"/>
        </w:rPr>
        <w:t xml:space="preserve"> giving them the potential to delay the exhaust of the </w:t>
      </w:r>
      <w:r w:rsidR="00DC6421" w:rsidRPr="00F00180">
        <w:rPr>
          <w:rFonts w:ascii="Arial" w:hAnsi="Arial"/>
          <w:sz w:val="22"/>
          <w:lang w:val="en-CA"/>
        </w:rPr>
        <w:t xml:space="preserve">6YY </w:t>
      </w:r>
      <w:r w:rsidR="00F33868" w:rsidRPr="00F00180">
        <w:rPr>
          <w:rFonts w:ascii="Arial" w:hAnsi="Arial"/>
          <w:sz w:val="22"/>
          <w:lang w:val="en-CA"/>
        </w:rPr>
        <w:t xml:space="preserve">NPAs </w:t>
      </w:r>
      <w:r w:rsidR="00DC6421" w:rsidRPr="00F00180">
        <w:rPr>
          <w:rFonts w:ascii="Arial" w:hAnsi="Arial"/>
          <w:sz w:val="22"/>
          <w:lang w:val="en-CA"/>
        </w:rPr>
        <w:t>until a full solution can be implemented.</w:t>
      </w:r>
      <w:r w:rsidR="006F735E" w:rsidRPr="00F00180">
        <w:rPr>
          <w:rFonts w:ascii="Arial" w:hAnsi="Arial"/>
          <w:sz w:val="22"/>
          <w:lang w:val="en-CA"/>
        </w:rPr>
        <w:t xml:space="preserve"> </w:t>
      </w:r>
      <w:r w:rsidR="00366CB8" w:rsidRPr="00F00180">
        <w:rPr>
          <w:rFonts w:ascii="Arial" w:hAnsi="Arial"/>
          <w:sz w:val="22"/>
          <w:lang w:val="en-CA"/>
        </w:rPr>
        <w:br/>
      </w:r>
    </w:p>
    <w:p w14:paraId="7A3D021D" w14:textId="77777777" w:rsidR="00DC6421" w:rsidRPr="00F00180" w:rsidRDefault="00DC6421" w:rsidP="001351F2">
      <w:pPr>
        <w:pStyle w:val="ListParagraph"/>
        <w:numPr>
          <w:ilvl w:val="0"/>
          <w:numId w:val="35"/>
        </w:numPr>
        <w:rPr>
          <w:rFonts w:ascii="Arial" w:hAnsi="Arial"/>
          <w:lang w:val="en-CA"/>
        </w:rPr>
      </w:pPr>
      <w:r w:rsidRPr="00F00180">
        <w:rPr>
          <w:rFonts w:ascii="Arial" w:hAnsi="Arial"/>
          <w:b/>
          <w:sz w:val="22"/>
          <w:lang w:val="en-CA"/>
        </w:rPr>
        <w:t>Other</w:t>
      </w:r>
      <w:r w:rsidR="00973FB8" w:rsidRPr="00F00180">
        <w:rPr>
          <w:rFonts w:ascii="Arial" w:hAnsi="Arial"/>
          <w:b/>
          <w:sz w:val="22"/>
          <w:lang w:val="en-CA"/>
        </w:rPr>
        <w:t xml:space="preserve"> remedies</w:t>
      </w:r>
      <w:r w:rsidRPr="00F00180">
        <w:rPr>
          <w:rFonts w:ascii="Arial" w:hAnsi="Arial"/>
          <w:sz w:val="22"/>
          <w:lang w:val="en-CA"/>
        </w:rPr>
        <w:t xml:space="preserve"> are those option</w:t>
      </w:r>
      <w:r w:rsidR="00923938" w:rsidRPr="00F00180">
        <w:rPr>
          <w:rFonts w:ascii="Arial" w:hAnsi="Arial"/>
          <w:sz w:val="22"/>
          <w:lang w:val="en-CA"/>
        </w:rPr>
        <w:t>s</w:t>
      </w:r>
      <w:r w:rsidRPr="00F00180">
        <w:rPr>
          <w:rFonts w:ascii="Arial" w:hAnsi="Arial"/>
          <w:sz w:val="22"/>
          <w:lang w:val="en-CA"/>
        </w:rPr>
        <w:t xml:space="preserve"> that make TNs available for IoT, but </w:t>
      </w:r>
      <w:r w:rsidR="00816DE5" w:rsidRPr="00F00180">
        <w:rPr>
          <w:rFonts w:ascii="Arial" w:hAnsi="Arial"/>
          <w:sz w:val="22"/>
          <w:lang w:val="en-CA"/>
        </w:rPr>
        <w:t xml:space="preserve">either are risky due to an uncertainty in implementation or timing such that they cannot be considered reliable options (at least without further exploration); or </w:t>
      </w:r>
      <w:r w:rsidRPr="00F00180">
        <w:rPr>
          <w:rFonts w:ascii="Arial" w:hAnsi="Arial"/>
          <w:sz w:val="22"/>
          <w:lang w:val="en-CA"/>
        </w:rPr>
        <w:t xml:space="preserve">do not support inter-network communication, which limits their utility.  Nonetheless, to the extent that they are implemented by </w:t>
      </w:r>
      <w:r w:rsidR="007C46B8" w:rsidRPr="00F00180">
        <w:rPr>
          <w:rFonts w:ascii="Arial" w:hAnsi="Arial"/>
          <w:sz w:val="22"/>
          <w:lang w:val="en-CA"/>
        </w:rPr>
        <w:t>Carrier</w:t>
      </w:r>
      <w:r w:rsidRPr="00F00180">
        <w:rPr>
          <w:rFonts w:ascii="Arial" w:hAnsi="Arial"/>
          <w:sz w:val="22"/>
          <w:lang w:val="en-CA"/>
        </w:rPr>
        <w:t xml:space="preserve">s, they </w:t>
      </w:r>
      <w:r w:rsidR="00AB49BD" w:rsidRPr="00F00180">
        <w:rPr>
          <w:rFonts w:ascii="Arial" w:hAnsi="Arial"/>
          <w:sz w:val="22"/>
          <w:lang w:val="en-CA"/>
        </w:rPr>
        <w:t xml:space="preserve">would </w:t>
      </w:r>
      <w:r w:rsidR="00FB39EB" w:rsidRPr="00F00180">
        <w:rPr>
          <w:rFonts w:ascii="Arial" w:hAnsi="Arial"/>
          <w:sz w:val="22"/>
          <w:lang w:val="en-CA"/>
        </w:rPr>
        <w:t xml:space="preserve">defer </w:t>
      </w:r>
      <w:r w:rsidRPr="00F00180">
        <w:rPr>
          <w:rFonts w:ascii="Arial" w:hAnsi="Arial"/>
          <w:sz w:val="22"/>
          <w:lang w:val="en-CA"/>
        </w:rPr>
        <w:t xml:space="preserve">the exhaust of 6YY </w:t>
      </w:r>
      <w:r w:rsidR="00F33868" w:rsidRPr="00F00180">
        <w:rPr>
          <w:rFonts w:ascii="Arial" w:hAnsi="Arial"/>
          <w:sz w:val="22"/>
          <w:lang w:val="en-CA"/>
        </w:rPr>
        <w:t>NPAs</w:t>
      </w:r>
      <w:r w:rsidRPr="00F00180">
        <w:rPr>
          <w:rFonts w:ascii="Arial" w:hAnsi="Arial"/>
          <w:sz w:val="22"/>
          <w:lang w:val="en-CA"/>
        </w:rPr>
        <w:t>.</w:t>
      </w:r>
    </w:p>
    <w:p w14:paraId="118706D4" w14:textId="77777777" w:rsidR="007C7C10" w:rsidRDefault="007C7C10" w:rsidP="001351F2">
      <w:pPr>
        <w:rPr>
          <w:rFonts w:ascii="Arial" w:hAnsi="Arial" w:cs="Arial"/>
        </w:rPr>
      </w:pPr>
    </w:p>
    <w:p w14:paraId="65C0C712" w14:textId="77777777" w:rsidR="002B78D9" w:rsidRDefault="002B78D9">
      <w:pPr>
        <w:rPr>
          <w:rFonts w:ascii="Arial" w:eastAsiaTheme="majorEastAsia" w:hAnsi="Arial" w:cstheme="majorBidi"/>
          <w:color w:val="2F5496" w:themeColor="accent1" w:themeShade="BF"/>
          <w:sz w:val="24"/>
          <w:szCs w:val="24"/>
        </w:rPr>
      </w:pPr>
      <w:r>
        <w:rPr>
          <w:rFonts w:ascii="Arial" w:hAnsi="Arial"/>
          <w:sz w:val="24"/>
          <w:szCs w:val="24"/>
        </w:rPr>
        <w:br w:type="page"/>
      </w:r>
    </w:p>
    <w:p w14:paraId="7FFF07A6" w14:textId="77777777" w:rsidR="007C7C10" w:rsidRDefault="007C7C10" w:rsidP="001351F2">
      <w:pPr>
        <w:pStyle w:val="Heading1"/>
        <w:numPr>
          <w:ilvl w:val="1"/>
          <w:numId w:val="44"/>
        </w:numPr>
        <w:rPr>
          <w:rFonts w:ascii="Arial" w:hAnsi="Arial"/>
          <w:sz w:val="24"/>
          <w:szCs w:val="24"/>
        </w:rPr>
      </w:pPr>
      <w:bookmarkStart w:id="65" w:name="_Toc156387050"/>
      <w:bookmarkStart w:id="66" w:name="_Toc162946405"/>
      <w:r>
        <w:rPr>
          <w:rFonts w:ascii="Arial" w:hAnsi="Arial"/>
          <w:sz w:val="24"/>
          <w:szCs w:val="24"/>
        </w:rPr>
        <w:lastRenderedPageBreak/>
        <w:t>Full Solutions</w:t>
      </w:r>
      <w:bookmarkEnd w:id="65"/>
      <w:bookmarkEnd w:id="66"/>
    </w:p>
    <w:p w14:paraId="185EE268" w14:textId="77777777" w:rsidR="00715C75" w:rsidRPr="006E33C3" w:rsidRDefault="00715C75" w:rsidP="001351F2">
      <w:pPr>
        <w:spacing w:after="0" w:line="240" w:lineRule="auto"/>
        <w:rPr>
          <w:rFonts w:ascii="Arial" w:hAnsi="Arial" w:cs="Arial"/>
        </w:rPr>
      </w:pPr>
    </w:p>
    <w:p w14:paraId="0B206BCD" w14:textId="2F49F87F" w:rsidR="00C45488" w:rsidRPr="000B1CAF" w:rsidRDefault="00C45488" w:rsidP="001351F2">
      <w:pPr>
        <w:rPr>
          <w:rFonts w:ascii="Arial" w:hAnsi="Arial" w:cs="Arial"/>
        </w:rPr>
      </w:pPr>
      <w:r w:rsidRPr="007220B7">
        <w:rPr>
          <w:rFonts w:ascii="Arial" w:hAnsi="Arial" w:cs="Arial"/>
        </w:rPr>
        <w:t xml:space="preserve">Option 7 (Extended 6YY </w:t>
      </w:r>
      <w:r w:rsidR="00AD25CE" w:rsidRPr="007220B7">
        <w:rPr>
          <w:rFonts w:ascii="Arial" w:hAnsi="Arial" w:cs="Arial"/>
        </w:rPr>
        <w:t>NPA</w:t>
      </w:r>
      <w:r w:rsidR="00C0139A">
        <w:rPr>
          <w:rFonts w:ascii="Arial" w:hAnsi="Arial" w:cs="Arial"/>
        </w:rPr>
        <w:t>s</w:t>
      </w:r>
      <w:r w:rsidRPr="007220B7">
        <w:rPr>
          <w:rFonts w:ascii="Arial" w:hAnsi="Arial" w:cs="Arial"/>
        </w:rPr>
        <w:t xml:space="preserve">) is the only full solution identified, and as discussed above in section </w:t>
      </w:r>
      <w:r w:rsidR="000B3CAB">
        <w:rPr>
          <w:rFonts w:ascii="Arial" w:hAnsi="Arial" w:cs="Arial"/>
        </w:rPr>
        <w:t>3</w:t>
      </w:r>
      <w:r w:rsidRPr="007220B7">
        <w:rPr>
          <w:rFonts w:ascii="Arial" w:hAnsi="Arial" w:cs="Arial"/>
        </w:rPr>
        <w:t xml:space="preserve">, provides for the following 2 </w:t>
      </w:r>
      <w:r w:rsidR="00182CEE">
        <w:rPr>
          <w:rFonts w:ascii="Arial" w:hAnsi="Arial" w:cs="Arial"/>
        </w:rPr>
        <w:t>sub-</w:t>
      </w:r>
      <w:r w:rsidRPr="007220B7">
        <w:rPr>
          <w:rFonts w:ascii="Arial" w:hAnsi="Arial" w:cs="Arial"/>
        </w:rPr>
        <w:t xml:space="preserve">options: (a) </w:t>
      </w:r>
      <w:r w:rsidR="000B3CAB">
        <w:rPr>
          <w:rFonts w:ascii="Arial" w:hAnsi="Arial" w:cs="Arial"/>
        </w:rPr>
        <w:t>u</w:t>
      </w:r>
      <w:r w:rsidRPr="007220B7">
        <w:rPr>
          <w:rFonts w:ascii="Arial" w:hAnsi="Arial" w:cs="Arial"/>
        </w:rPr>
        <w:t>se</w:t>
      </w:r>
      <w:r w:rsidRPr="007220B7">
        <w:rPr>
          <w:rFonts w:ascii="Arial" w:hAnsi="Arial" w:cs="Arial"/>
        </w:rPr>
        <w:t xml:space="preserve"> of 1+12-digit telephone numbers in </w:t>
      </w:r>
      <w:r w:rsidR="00B25C68">
        <w:rPr>
          <w:rFonts w:ascii="Arial" w:hAnsi="Arial" w:cs="Arial"/>
        </w:rPr>
        <w:t>one or more</w:t>
      </w:r>
      <w:r w:rsidR="00B25C68" w:rsidRPr="007220B7">
        <w:rPr>
          <w:rFonts w:ascii="Arial" w:hAnsi="Arial" w:cs="Arial"/>
        </w:rPr>
        <w:t xml:space="preserve"> </w:t>
      </w:r>
      <w:r w:rsidRPr="007220B7">
        <w:rPr>
          <w:rFonts w:ascii="Arial" w:hAnsi="Arial" w:cs="Arial"/>
        </w:rPr>
        <w:t xml:space="preserve">unused 6YY </w:t>
      </w:r>
      <w:r w:rsidR="00AD25CE" w:rsidRPr="007220B7">
        <w:rPr>
          <w:rFonts w:ascii="Arial" w:hAnsi="Arial" w:cs="Arial"/>
        </w:rPr>
        <w:t>NPA</w:t>
      </w:r>
      <w:r w:rsidR="00B25C68">
        <w:rPr>
          <w:rFonts w:ascii="Arial" w:hAnsi="Arial" w:cs="Arial"/>
        </w:rPr>
        <w:t>s</w:t>
      </w:r>
      <w:r w:rsidRPr="007220B7">
        <w:rPr>
          <w:rFonts w:ascii="Arial" w:hAnsi="Arial" w:cs="Arial"/>
        </w:rPr>
        <w:t xml:space="preserve"> or (b):  </w:t>
      </w:r>
      <w:r w:rsidR="000B3CAB">
        <w:rPr>
          <w:rFonts w:ascii="Arial" w:hAnsi="Arial" w:cs="Arial"/>
        </w:rPr>
        <w:t>u</w:t>
      </w:r>
      <w:r w:rsidRPr="007220B7">
        <w:rPr>
          <w:rFonts w:ascii="Arial" w:hAnsi="Arial" w:cs="Arial"/>
        </w:rPr>
        <w:t>se</w:t>
      </w:r>
      <w:r w:rsidRPr="007220B7">
        <w:rPr>
          <w:rFonts w:ascii="Arial" w:hAnsi="Arial" w:cs="Arial"/>
        </w:rPr>
        <w:t xml:space="preserve"> of 1+14-digit telephone numbers in an unused 6YY </w:t>
      </w:r>
      <w:r w:rsidR="00AD25CE" w:rsidRPr="007220B7">
        <w:rPr>
          <w:rFonts w:ascii="Arial" w:hAnsi="Arial" w:cs="Arial"/>
        </w:rPr>
        <w:t>NPA</w:t>
      </w:r>
      <w:r w:rsidRPr="007220B7">
        <w:rPr>
          <w:rFonts w:ascii="Arial" w:hAnsi="Arial" w:cs="Arial"/>
        </w:rPr>
        <w:t xml:space="preserve">. As further discussed below both </w:t>
      </w:r>
      <w:r w:rsidR="00CA06C3" w:rsidRPr="00182CEE">
        <w:rPr>
          <w:rFonts w:ascii="Arial" w:hAnsi="Arial" w:cs="Arial"/>
        </w:rPr>
        <w:t>Options 7A and 7B</w:t>
      </w:r>
      <w:r w:rsidRPr="007220B7">
        <w:rPr>
          <w:rFonts w:ascii="Arial" w:hAnsi="Arial" w:cs="Arial"/>
        </w:rPr>
        <w:t xml:space="preserve"> w</w:t>
      </w:r>
      <w:r w:rsidR="00CA06C3" w:rsidRPr="00182CEE">
        <w:rPr>
          <w:rFonts w:ascii="Arial" w:hAnsi="Arial" w:cs="Arial"/>
        </w:rPr>
        <w:t>ould</w:t>
      </w:r>
      <w:r w:rsidRPr="007220B7">
        <w:rPr>
          <w:rFonts w:ascii="Arial" w:hAnsi="Arial" w:cs="Arial"/>
        </w:rPr>
        <w:t xml:space="preserve"> </w:t>
      </w:r>
      <w:r w:rsidR="009D72CA" w:rsidRPr="007220B7">
        <w:rPr>
          <w:rFonts w:ascii="Arial" w:hAnsi="Arial" w:cs="Arial"/>
        </w:rPr>
        <w:t xml:space="preserve">extend the life of </w:t>
      </w:r>
      <w:r w:rsidR="00C80EFE" w:rsidRPr="007220B7">
        <w:rPr>
          <w:rFonts w:ascii="Arial" w:hAnsi="Arial" w:cs="Arial"/>
        </w:rPr>
        <w:t>6YY non-geographic NPAs</w:t>
      </w:r>
      <w:r w:rsidR="00FB2E79">
        <w:rPr>
          <w:rFonts w:ascii="Arial" w:hAnsi="Arial" w:cs="Arial"/>
        </w:rPr>
        <w:t xml:space="preserve"> to beyond 2050</w:t>
      </w:r>
      <w:r w:rsidR="00C80EFE" w:rsidRPr="007220B7">
        <w:rPr>
          <w:rFonts w:ascii="Arial" w:hAnsi="Arial" w:cs="Arial"/>
        </w:rPr>
        <w:t>.</w:t>
      </w:r>
      <w:r w:rsidRPr="007220B7">
        <w:rPr>
          <w:rFonts w:ascii="Arial" w:hAnsi="Arial" w:cs="Arial"/>
        </w:rPr>
        <w:t xml:space="preserve"> </w:t>
      </w:r>
      <w:r w:rsidR="00FB2E79" w:rsidRPr="000B1CAF">
        <w:rPr>
          <w:rFonts w:ascii="Arial" w:hAnsi="Arial" w:cs="Arial"/>
        </w:rPr>
        <w:t>Applying Option 7B to a single NPA would provide 100 times more numbers than Option 7A, many more than forecasted demand.  The salient question in choosing one over the other is whether the uncertainty in forecasting and the date of relief through NANPE can justify any additional time, resources or risk associated with Option 7B.</w:t>
      </w:r>
    </w:p>
    <w:p w14:paraId="75D45DE7" w14:textId="77777777" w:rsidR="00FB39EB" w:rsidRPr="000B1CAF" w:rsidRDefault="00C45488" w:rsidP="001351F2">
      <w:pPr>
        <w:rPr>
          <w:rFonts w:ascii="Arial" w:hAnsi="Arial" w:cs="Arial"/>
        </w:rPr>
      </w:pPr>
      <w:r w:rsidRPr="000B1CAF">
        <w:rPr>
          <w:rFonts w:ascii="Arial" w:hAnsi="Arial" w:cs="Arial"/>
        </w:rPr>
        <w:t xml:space="preserve">Option </w:t>
      </w:r>
      <w:r w:rsidR="00FB39EB" w:rsidRPr="000B1CAF">
        <w:rPr>
          <w:rFonts w:ascii="Arial" w:hAnsi="Arial" w:cs="Arial"/>
        </w:rPr>
        <w:t>7</w:t>
      </w:r>
      <w:r w:rsidR="00CA06C3" w:rsidRPr="000B1CAF">
        <w:rPr>
          <w:rFonts w:ascii="Arial" w:hAnsi="Arial" w:cs="Arial"/>
        </w:rPr>
        <w:t>A</w:t>
      </w:r>
      <w:r w:rsidR="00FB39EB" w:rsidRPr="000B1CAF">
        <w:rPr>
          <w:rFonts w:ascii="Arial" w:hAnsi="Arial" w:cs="Arial"/>
        </w:rPr>
        <w:t xml:space="preserve"> (one or </w:t>
      </w:r>
      <w:r w:rsidR="00433C51" w:rsidRPr="000B1CAF">
        <w:rPr>
          <w:rFonts w:ascii="Arial" w:hAnsi="Arial" w:cs="Arial"/>
        </w:rPr>
        <w:t xml:space="preserve">more NPAs </w:t>
      </w:r>
      <w:r w:rsidR="001B721C" w:rsidRPr="000B1CAF">
        <w:rPr>
          <w:rFonts w:ascii="Arial" w:hAnsi="Arial" w:cs="Arial"/>
        </w:rPr>
        <w:t xml:space="preserve">using </w:t>
      </w:r>
      <w:r w:rsidR="00433C51" w:rsidRPr="000B1CAF">
        <w:rPr>
          <w:rFonts w:ascii="Arial" w:hAnsi="Arial" w:cs="Arial"/>
        </w:rPr>
        <w:t>1+12 digits</w:t>
      </w:r>
      <w:r w:rsidR="00FB39EB" w:rsidRPr="000B1CAF">
        <w:rPr>
          <w:rFonts w:ascii="Arial" w:hAnsi="Arial" w:cs="Arial"/>
        </w:rPr>
        <w:t>)</w:t>
      </w:r>
      <w:r w:rsidR="001B721C" w:rsidRPr="000B1CAF">
        <w:rPr>
          <w:rFonts w:ascii="Arial" w:hAnsi="Arial" w:cs="Arial"/>
        </w:rPr>
        <w:t xml:space="preserve"> is compatible with t</w:t>
      </w:r>
      <w:r w:rsidR="00123E21" w:rsidRPr="000B1CAF">
        <w:rPr>
          <w:rFonts w:ascii="Arial" w:hAnsi="Arial" w:cs="Arial"/>
        </w:rPr>
        <w:t xml:space="preserve">he </w:t>
      </w:r>
      <w:r w:rsidR="00182CEE" w:rsidRPr="000B1CAF">
        <w:rPr>
          <w:rFonts w:ascii="Arial" w:hAnsi="Arial" w:cs="Arial"/>
        </w:rPr>
        <w:t>2002</w:t>
      </w:r>
      <w:r w:rsidR="00BE1AA8" w:rsidRPr="000B1CAF">
        <w:rPr>
          <w:rFonts w:ascii="Arial" w:hAnsi="Arial" w:cs="Arial"/>
        </w:rPr>
        <w:t xml:space="preserve"> NANP</w:t>
      </w:r>
      <w:r w:rsidR="00FB39EB" w:rsidRPr="000B1CAF">
        <w:rPr>
          <w:rFonts w:ascii="Arial" w:hAnsi="Arial" w:cs="Arial"/>
        </w:rPr>
        <w:t>E</w:t>
      </w:r>
      <w:r w:rsidR="00D100F1" w:rsidRPr="000B1CAF">
        <w:rPr>
          <w:rFonts w:ascii="Arial" w:hAnsi="Arial" w:cs="Arial"/>
        </w:rPr>
        <w:t xml:space="preserve"> plan</w:t>
      </w:r>
      <w:r w:rsidR="007F6BA5" w:rsidRPr="000B1CAF">
        <w:rPr>
          <w:rFonts w:ascii="Arial" w:hAnsi="Arial" w:cs="Arial"/>
        </w:rPr>
        <w:t xml:space="preserve"> and </w:t>
      </w:r>
      <w:r w:rsidR="00380748" w:rsidRPr="000B1CAF">
        <w:rPr>
          <w:rFonts w:ascii="Arial" w:hAnsi="Arial" w:cs="Arial"/>
        </w:rPr>
        <w:t xml:space="preserve">would </w:t>
      </w:r>
      <w:r w:rsidR="00761413" w:rsidRPr="000B1CAF">
        <w:rPr>
          <w:rFonts w:ascii="Arial" w:hAnsi="Arial" w:cs="Arial"/>
        </w:rPr>
        <w:t>provide 100 times more TNs per 6YY NPA</w:t>
      </w:r>
      <w:r w:rsidR="00362866" w:rsidRPr="000B1CAF">
        <w:rPr>
          <w:rFonts w:ascii="Arial" w:hAnsi="Arial" w:cs="Arial"/>
        </w:rPr>
        <w:t xml:space="preserve"> than 1+10 digits</w:t>
      </w:r>
      <w:r w:rsidR="00BE1AA8" w:rsidRPr="000B1CAF">
        <w:rPr>
          <w:rFonts w:ascii="Arial" w:hAnsi="Arial" w:cs="Arial"/>
        </w:rPr>
        <w:t>.</w:t>
      </w:r>
      <w:r w:rsidR="000241C0" w:rsidRPr="000B1CAF">
        <w:rPr>
          <w:rFonts w:ascii="Arial" w:hAnsi="Arial" w:cs="Arial"/>
        </w:rPr>
        <w:t xml:space="preserve"> </w:t>
      </w:r>
      <w:r w:rsidR="009806FA" w:rsidRPr="000B1CAF">
        <w:rPr>
          <w:rFonts w:ascii="Arial" w:hAnsi="Arial" w:cs="Arial"/>
        </w:rPr>
        <w:t xml:space="preserve">It also provides </w:t>
      </w:r>
      <w:r w:rsidR="000E20E8" w:rsidRPr="000B1CAF">
        <w:rPr>
          <w:rFonts w:ascii="Arial" w:hAnsi="Arial" w:cs="Arial"/>
        </w:rPr>
        <w:t>a standard way to detect expanded non-geographic TNs.</w:t>
      </w:r>
      <w:r w:rsidR="00FB39EB" w:rsidRPr="000B1CAF">
        <w:rPr>
          <w:rFonts w:ascii="Arial" w:hAnsi="Arial" w:cs="Arial"/>
        </w:rPr>
        <w:t xml:space="preserve"> </w:t>
      </w:r>
      <w:r w:rsidRPr="000B1CAF">
        <w:rPr>
          <w:rFonts w:ascii="Arial" w:hAnsi="Arial" w:cs="Arial"/>
        </w:rPr>
        <w:t xml:space="preserve">Alternatively, </w:t>
      </w:r>
      <w:r w:rsidR="00CA06C3" w:rsidRPr="000B1CAF">
        <w:rPr>
          <w:rFonts w:ascii="Arial" w:hAnsi="Arial" w:cs="Arial"/>
        </w:rPr>
        <w:t>Option 7B</w:t>
      </w:r>
      <w:r w:rsidRPr="000B1CAF">
        <w:rPr>
          <w:rFonts w:ascii="Arial" w:hAnsi="Arial" w:cs="Arial"/>
        </w:rPr>
        <w:t xml:space="preserve"> provides </w:t>
      </w:r>
      <w:r w:rsidR="00386552" w:rsidRPr="000B1CAF">
        <w:rPr>
          <w:rFonts w:ascii="Arial" w:hAnsi="Arial" w:cs="Arial"/>
        </w:rPr>
        <w:t>100 times</w:t>
      </w:r>
      <w:r w:rsidRPr="000B1CAF">
        <w:rPr>
          <w:rFonts w:ascii="Arial" w:hAnsi="Arial" w:cs="Arial"/>
        </w:rPr>
        <w:t xml:space="preserve"> more numbers than </w:t>
      </w:r>
      <w:r w:rsidR="00CA06C3" w:rsidRPr="000B1CAF">
        <w:rPr>
          <w:rFonts w:ascii="Arial" w:hAnsi="Arial" w:cs="Arial"/>
        </w:rPr>
        <w:t>Option 7A</w:t>
      </w:r>
      <w:r w:rsidRPr="000B1CAF">
        <w:rPr>
          <w:rFonts w:ascii="Arial" w:hAnsi="Arial" w:cs="Arial"/>
        </w:rPr>
        <w:t xml:space="preserve"> </w:t>
      </w:r>
      <w:r w:rsidR="00386552" w:rsidRPr="000B1CAF">
        <w:rPr>
          <w:rFonts w:ascii="Arial" w:hAnsi="Arial" w:cs="Arial"/>
        </w:rPr>
        <w:t xml:space="preserve">but is not compatible with </w:t>
      </w:r>
      <w:r w:rsidR="00106F7B" w:rsidRPr="000B1CAF">
        <w:rPr>
          <w:rFonts w:ascii="Arial" w:hAnsi="Arial" w:cs="Arial"/>
        </w:rPr>
        <w:t xml:space="preserve">the </w:t>
      </w:r>
      <w:r w:rsidR="00182CEE" w:rsidRPr="000B1CAF">
        <w:rPr>
          <w:rFonts w:ascii="Arial" w:hAnsi="Arial" w:cs="Arial"/>
        </w:rPr>
        <w:t>2002</w:t>
      </w:r>
      <w:r w:rsidR="00106F7B" w:rsidRPr="000B1CAF">
        <w:rPr>
          <w:rFonts w:ascii="Arial" w:hAnsi="Arial" w:cs="Arial"/>
        </w:rPr>
        <w:t xml:space="preserve"> NANP</w:t>
      </w:r>
      <w:r w:rsidR="00FB39EB" w:rsidRPr="000B1CAF">
        <w:rPr>
          <w:rFonts w:ascii="Arial" w:hAnsi="Arial" w:cs="Arial"/>
        </w:rPr>
        <w:t>E</w:t>
      </w:r>
      <w:r w:rsidR="00182CEE" w:rsidRPr="000B1CAF">
        <w:rPr>
          <w:rFonts w:ascii="Arial" w:hAnsi="Arial" w:cs="Arial"/>
        </w:rPr>
        <w:t xml:space="preserve"> plan</w:t>
      </w:r>
      <w:r w:rsidR="00FB39EB" w:rsidRPr="000B1CAF">
        <w:rPr>
          <w:rFonts w:ascii="Arial" w:hAnsi="Arial" w:cs="Arial"/>
        </w:rPr>
        <w:t xml:space="preserve">.  NANPE has not been reviewed for over 20 years and it is not known if the format of the solution will remain at 1+12 digits the next time it is reviewed.  Therefore, NANPE compliance </w:t>
      </w:r>
      <w:r w:rsidR="00CA06C3" w:rsidRPr="000B1CAF">
        <w:rPr>
          <w:rFonts w:ascii="Arial" w:hAnsi="Arial" w:cs="Arial"/>
        </w:rPr>
        <w:t xml:space="preserve">is considered but </w:t>
      </w:r>
      <w:r w:rsidR="00FB39EB" w:rsidRPr="000B1CAF">
        <w:rPr>
          <w:rFonts w:ascii="Arial" w:hAnsi="Arial" w:cs="Arial"/>
        </w:rPr>
        <w:t xml:space="preserve">is not heavily weighted in this </w:t>
      </w:r>
      <w:r w:rsidR="00380748" w:rsidRPr="000B1CAF">
        <w:rPr>
          <w:rFonts w:ascii="Arial" w:hAnsi="Arial" w:cs="Arial"/>
        </w:rPr>
        <w:t>analysis</w:t>
      </w:r>
      <w:r w:rsidR="00FB39EB" w:rsidRPr="000B1CAF">
        <w:rPr>
          <w:rFonts w:ascii="Arial" w:hAnsi="Arial" w:cs="Arial"/>
        </w:rPr>
        <w:t xml:space="preserve">.     </w:t>
      </w:r>
    </w:p>
    <w:p w14:paraId="6F235D3A" w14:textId="17AEFFBC" w:rsidR="005F0515" w:rsidRPr="000B1CAF" w:rsidRDefault="00372A33" w:rsidP="001351F2">
      <w:pPr>
        <w:rPr>
          <w:rFonts w:ascii="Arial" w:hAnsi="Arial" w:cs="Arial"/>
        </w:rPr>
      </w:pPr>
      <w:r w:rsidRPr="000B1CAF">
        <w:rPr>
          <w:rFonts w:ascii="Arial" w:hAnsi="Arial" w:cs="Arial"/>
        </w:rPr>
        <w:t>Option</w:t>
      </w:r>
      <w:r w:rsidR="00CA06C3" w:rsidRPr="000B1CAF">
        <w:rPr>
          <w:rFonts w:ascii="Arial" w:hAnsi="Arial" w:cs="Arial"/>
        </w:rPr>
        <w:t>s</w:t>
      </w:r>
      <w:r w:rsidRPr="000B1CAF">
        <w:rPr>
          <w:rFonts w:ascii="Arial" w:hAnsi="Arial" w:cs="Arial"/>
        </w:rPr>
        <w:t xml:space="preserve"> 7</w:t>
      </w:r>
      <w:r w:rsidR="00CA06C3" w:rsidRPr="000B1CAF">
        <w:rPr>
          <w:rFonts w:ascii="Arial" w:hAnsi="Arial" w:cs="Arial"/>
        </w:rPr>
        <w:t>A</w:t>
      </w:r>
      <w:r w:rsidRPr="000B1CAF">
        <w:rPr>
          <w:rFonts w:ascii="Arial" w:hAnsi="Arial" w:cs="Arial"/>
        </w:rPr>
        <w:t xml:space="preserve"> and Option 7</w:t>
      </w:r>
      <w:r w:rsidR="00CA06C3" w:rsidRPr="000B1CAF">
        <w:rPr>
          <w:rFonts w:ascii="Arial" w:hAnsi="Arial" w:cs="Arial"/>
        </w:rPr>
        <w:t xml:space="preserve">B </w:t>
      </w:r>
      <w:r w:rsidR="00C45488" w:rsidRPr="000B1CAF">
        <w:rPr>
          <w:rFonts w:ascii="Arial" w:hAnsi="Arial" w:cs="Arial"/>
        </w:rPr>
        <w:t xml:space="preserve">are expected to require </w:t>
      </w:r>
      <w:r w:rsidR="008261F1" w:rsidRPr="000B1CAF">
        <w:rPr>
          <w:rFonts w:ascii="Arial" w:hAnsi="Arial" w:cs="Arial"/>
        </w:rPr>
        <w:t>similar</w:t>
      </w:r>
      <w:r w:rsidR="00C45488" w:rsidRPr="000B1CAF">
        <w:rPr>
          <w:rFonts w:ascii="Arial" w:hAnsi="Arial" w:cs="Arial"/>
        </w:rPr>
        <w:t xml:space="preserve"> level</w:t>
      </w:r>
      <w:r w:rsidR="008261F1" w:rsidRPr="000B1CAF">
        <w:rPr>
          <w:rFonts w:ascii="Arial" w:hAnsi="Arial" w:cs="Arial"/>
        </w:rPr>
        <w:t>s</w:t>
      </w:r>
      <w:r w:rsidR="00C45488" w:rsidRPr="000B1CAF">
        <w:rPr>
          <w:rFonts w:ascii="Arial" w:hAnsi="Arial" w:cs="Arial"/>
        </w:rPr>
        <w:t xml:space="preserve"> of investment and effort in network infrastructure</w:t>
      </w:r>
      <w:r w:rsidR="00CA06C3" w:rsidRPr="000B1CAF">
        <w:rPr>
          <w:rFonts w:ascii="Arial" w:hAnsi="Arial" w:cs="Arial"/>
        </w:rPr>
        <w:t>, support</w:t>
      </w:r>
      <w:r w:rsidR="00C45488" w:rsidRPr="000B1CAF">
        <w:rPr>
          <w:rFonts w:ascii="Arial" w:hAnsi="Arial" w:cs="Arial"/>
        </w:rPr>
        <w:t xml:space="preserve"> systems</w:t>
      </w:r>
      <w:r w:rsidR="00CA06C3" w:rsidRPr="000B1CAF">
        <w:rPr>
          <w:rFonts w:ascii="Arial" w:hAnsi="Arial" w:cs="Arial"/>
        </w:rPr>
        <w:t xml:space="preserve"> and the </w:t>
      </w:r>
      <w:r w:rsidR="00C764A7" w:rsidRPr="000B1CAF">
        <w:rPr>
          <w:rFonts w:ascii="Arial" w:hAnsi="Arial" w:cs="Arial"/>
        </w:rPr>
        <w:t>CNA’s</w:t>
      </w:r>
      <w:r w:rsidR="00CA06C3" w:rsidRPr="000B1CAF">
        <w:rPr>
          <w:rFonts w:ascii="Arial" w:hAnsi="Arial" w:cs="Arial"/>
        </w:rPr>
        <w:t xml:space="preserve"> number administration system</w:t>
      </w:r>
      <w:r w:rsidR="00B270F4" w:rsidRPr="000B1CAF">
        <w:rPr>
          <w:rFonts w:ascii="Arial" w:hAnsi="Arial" w:cs="Arial"/>
        </w:rPr>
        <w:t>, but th</w:t>
      </w:r>
      <w:r w:rsidRPr="000B1CAF">
        <w:rPr>
          <w:rFonts w:ascii="Arial" w:hAnsi="Arial" w:cs="Arial"/>
        </w:rPr>
        <w:t>ere is some risk that Option 7</w:t>
      </w:r>
      <w:r w:rsidR="00CA06C3" w:rsidRPr="000B1CAF">
        <w:rPr>
          <w:rFonts w:ascii="Arial" w:hAnsi="Arial" w:cs="Arial"/>
        </w:rPr>
        <w:t xml:space="preserve">B </w:t>
      </w:r>
      <w:r w:rsidRPr="000B1CAF">
        <w:rPr>
          <w:rFonts w:ascii="Arial" w:hAnsi="Arial" w:cs="Arial"/>
        </w:rPr>
        <w:t>will be more difficult to implement</w:t>
      </w:r>
      <w:r w:rsidR="00B270F4" w:rsidRPr="000B1CAF">
        <w:rPr>
          <w:rFonts w:ascii="Arial" w:hAnsi="Arial" w:cs="Arial"/>
        </w:rPr>
        <w:t xml:space="preserve"> for some Carriers</w:t>
      </w:r>
      <w:r w:rsidRPr="000B1CAF">
        <w:rPr>
          <w:rFonts w:ascii="Arial" w:hAnsi="Arial" w:cs="Arial"/>
        </w:rPr>
        <w:t xml:space="preserve">, and some consideration should be given to its incompatibility with the </w:t>
      </w:r>
      <w:r w:rsidR="00CF7490" w:rsidRPr="000B1CAF">
        <w:rPr>
          <w:rFonts w:ascii="Arial" w:hAnsi="Arial" w:cs="Arial"/>
        </w:rPr>
        <w:t>2002</w:t>
      </w:r>
      <w:r w:rsidRPr="000B1CAF">
        <w:rPr>
          <w:rFonts w:ascii="Arial" w:hAnsi="Arial" w:cs="Arial"/>
        </w:rPr>
        <w:t xml:space="preserve"> NANPE plan.  </w:t>
      </w:r>
      <w:r w:rsidR="00C45488" w:rsidRPr="000B1CAF">
        <w:rPr>
          <w:rFonts w:ascii="Arial" w:hAnsi="Arial" w:cs="Arial"/>
        </w:rPr>
        <w:t>It is expected that it w</w:t>
      </w:r>
      <w:r w:rsidR="00380748" w:rsidRPr="000B1CAF">
        <w:rPr>
          <w:rFonts w:ascii="Arial" w:hAnsi="Arial" w:cs="Arial"/>
        </w:rPr>
        <w:t>ou</w:t>
      </w:r>
      <w:r w:rsidR="008261F1" w:rsidRPr="000B1CAF">
        <w:rPr>
          <w:rFonts w:ascii="Arial" w:hAnsi="Arial" w:cs="Arial"/>
        </w:rPr>
        <w:t>l</w:t>
      </w:r>
      <w:r w:rsidR="00380748" w:rsidRPr="000B1CAF">
        <w:rPr>
          <w:rFonts w:ascii="Arial" w:hAnsi="Arial" w:cs="Arial"/>
        </w:rPr>
        <w:t>d</w:t>
      </w:r>
      <w:r w:rsidR="00C45488" w:rsidRPr="000B1CAF">
        <w:rPr>
          <w:rFonts w:ascii="Arial" w:hAnsi="Arial" w:cs="Arial"/>
        </w:rPr>
        <w:t xml:space="preserve"> take </w:t>
      </w:r>
      <w:r w:rsidR="00C54B61">
        <w:rPr>
          <w:rFonts w:ascii="Arial" w:hAnsi="Arial" w:cs="Arial"/>
        </w:rPr>
        <w:t>C</w:t>
      </w:r>
      <w:r w:rsidR="006076A4" w:rsidRPr="000B1CAF">
        <w:rPr>
          <w:rFonts w:ascii="Arial" w:hAnsi="Arial" w:cs="Arial"/>
        </w:rPr>
        <w:t>arriers</w:t>
      </w:r>
      <w:r w:rsidR="006076A4" w:rsidRPr="000B1CAF">
        <w:rPr>
          <w:rFonts w:ascii="Arial" w:hAnsi="Arial" w:cs="Arial"/>
        </w:rPr>
        <w:t xml:space="preserve"> </w:t>
      </w:r>
      <w:r w:rsidR="00C45488" w:rsidRPr="000B1CAF">
        <w:rPr>
          <w:rFonts w:ascii="Arial" w:hAnsi="Arial" w:cs="Arial"/>
        </w:rPr>
        <w:t xml:space="preserve">2-3 years </w:t>
      </w:r>
      <w:r w:rsidRPr="000B1CAF">
        <w:rPr>
          <w:rFonts w:ascii="Arial" w:hAnsi="Arial" w:cs="Arial"/>
        </w:rPr>
        <w:t xml:space="preserve">from the date of a CRTC directive </w:t>
      </w:r>
      <w:r w:rsidR="00C45488" w:rsidRPr="000B1CAF">
        <w:rPr>
          <w:rFonts w:ascii="Arial" w:hAnsi="Arial" w:cs="Arial"/>
        </w:rPr>
        <w:t xml:space="preserve">to implement </w:t>
      </w:r>
      <w:r w:rsidRPr="000B1CAF">
        <w:rPr>
          <w:rFonts w:ascii="Arial" w:hAnsi="Arial" w:cs="Arial"/>
        </w:rPr>
        <w:t>either option</w:t>
      </w:r>
      <w:r w:rsidR="00C45488" w:rsidRPr="000B1CAF">
        <w:rPr>
          <w:rFonts w:ascii="Arial" w:hAnsi="Arial" w:cs="Arial"/>
        </w:rPr>
        <w:t>.  </w:t>
      </w:r>
    </w:p>
    <w:p w14:paraId="3ABC7315" w14:textId="2F5C4203" w:rsidR="008261F1" w:rsidRDefault="00372A33" w:rsidP="001351F2">
      <w:pPr>
        <w:rPr>
          <w:rFonts w:ascii="Arial" w:hAnsi="Arial" w:cs="Arial"/>
        </w:rPr>
      </w:pPr>
      <w:r w:rsidRPr="000B1CAF">
        <w:rPr>
          <w:rFonts w:ascii="Arial" w:hAnsi="Arial" w:cs="Arial"/>
        </w:rPr>
        <w:t>Applying Option 7</w:t>
      </w:r>
      <w:r w:rsidR="00CA06C3" w:rsidRPr="000B1CAF">
        <w:rPr>
          <w:rFonts w:ascii="Arial" w:hAnsi="Arial" w:cs="Arial"/>
        </w:rPr>
        <w:t xml:space="preserve">A </w:t>
      </w:r>
      <w:r w:rsidRPr="000B1CAF">
        <w:rPr>
          <w:rFonts w:ascii="Arial" w:hAnsi="Arial" w:cs="Arial"/>
        </w:rPr>
        <w:t xml:space="preserve">to a single 6YY NPA </w:t>
      </w:r>
      <w:r w:rsidR="00D41AA9" w:rsidRPr="000B1CAF">
        <w:rPr>
          <w:rFonts w:ascii="Arial" w:hAnsi="Arial" w:cs="Arial"/>
        </w:rPr>
        <w:t xml:space="preserve">would </w:t>
      </w:r>
      <w:r w:rsidR="00C45488" w:rsidRPr="000B1CAF">
        <w:rPr>
          <w:rFonts w:ascii="Arial" w:hAnsi="Arial" w:cs="Arial"/>
        </w:rPr>
        <w:t>extend the life of the non</w:t>
      </w:r>
      <w:r w:rsidRPr="000B1CAF">
        <w:rPr>
          <w:rFonts w:ascii="Arial" w:hAnsi="Arial" w:cs="Arial"/>
        </w:rPr>
        <w:t>-</w:t>
      </w:r>
      <w:r w:rsidR="00C45488" w:rsidRPr="000B1CAF">
        <w:rPr>
          <w:rFonts w:ascii="Arial" w:hAnsi="Arial" w:cs="Arial"/>
        </w:rPr>
        <w:t>geo</w:t>
      </w:r>
      <w:r w:rsidRPr="000B1CAF">
        <w:rPr>
          <w:rFonts w:ascii="Arial" w:hAnsi="Arial" w:cs="Arial"/>
        </w:rPr>
        <w:t>graphic</w:t>
      </w:r>
      <w:r w:rsidR="00C45488" w:rsidRPr="000B1CAF">
        <w:rPr>
          <w:rFonts w:ascii="Arial" w:hAnsi="Arial" w:cs="Arial"/>
        </w:rPr>
        <w:t xml:space="preserve"> resources to </w:t>
      </w:r>
      <w:r w:rsidR="001C3E76" w:rsidRPr="000B1CAF">
        <w:rPr>
          <w:rFonts w:ascii="Arial" w:hAnsi="Arial" w:cs="Arial"/>
          <w:bCs/>
        </w:rPr>
        <w:t>beyond 205</w:t>
      </w:r>
      <w:r w:rsidRPr="000B1CAF">
        <w:rPr>
          <w:rFonts w:ascii="Arial" w:hAnsi="Arial" w:cs="Arial"/>
          <w:bCs/>
        </w:rPr>
        <w:t>0</w:t>
      </w:r>
      <w:r w:rsidR="00C45488" w:rsidRPr="000B1CAF">
        <w:rPr>
          <w:rFonts w:ascii="Arial" w:hAnsi="Arial" w:cs="Arial"/>
        </w:rPr>
        <w:t>.  </w:t>
      </w:r>
      <w:r w:rsidRPr="000B1CAF">
        <w:rPr>
          <w:rFonts w:ascii="Arial" w:hAnsi="Arial" w:cs="Arial"/>
        </w:rPr>
        <w:t>Applying it to a second 6YY NPA w</w:t>
      </w:r>
      <w:r w:rsidR="00D41AA9" w:rsidRPr="000B1CAF">
        <w:rPr>
          <w:rFonts w:ascii="Arial" w:hAnsi="Arial" w:cs="Arial"/>
        </w:rPr>
        <w:t>ould</w:t>
      </w:r>
      <w:r w:rsidRPr="000B1CAF">
        <w:rPr>
          <w:rFonts w:ascii="Arial" w:hAnsi="Arial" w:cs="Arial"/>
        </w:rPr>
        <w:t xml:space="preserve"> provide a generous safety </w:t>
      </w:r>
      <w:r w:rsidR="00D41AA9" w:rsidRPr="000B1CAF">
        <w:rPr>
          <w:rFonts w:ascii="Arial" w:hAnsi="Arial" w:cs="Arial"/>
        </w:rPr>
        <w:t>margin</w:t>
      </w:r>
      <w:r w:rsidRPr="000B1CAF">
        <w:rPr>
          <w:rFonts w:ascii="Arial" w:hAnsi="Arial" w:cs="Arial"/>
        </w:rPr>
        <w:t xml:space="preserve"> without any additional costs or resources.</w:t>
      </w:r>
      <w:r w:rsidR="00B270F4" w:rsidRPr="000B1CAF">
        <w:rPr>
          <w:rFonts w:ascii="Arial" w:hAnsi="Arial" w:cs="Arial"/>
        </w:rPr>
        <w:t xml:space="preserve">  </w:t>
      </w:r>
      <w:r w:rsidR="00936895">
        <w:rPr>
          <w:rFonts w:ascii="Arial" w:hAnsi="Arial" w:cs="Arial"/>
        </w:rPr>
        <w:t>However, if</w:t>
      </w:r>
      <w:r w:rsidR="00936895">
        <w:rPr>
          <w:rFonts w:ascii="Arial" w:hAnsi="Arial" w:cs="Arial"/>
        </w:rPr>
        <w:t xml:space="preserve"> the </w:t>
      </w:r>
      <w:r w:rsidR="00936895">
        <w:rPr>
          <w:rFonts w:ascii="Arial" w:hAnsi="Arial" w:cs="Arial"/>
        </w:rPr>
        <w:t>costs and timing</w:t>
      </w:r>
      <w:r w:rsidR="00936895">
        <w:rPr>
          <w:rFonts w:ascii="Arial" w:hAnsi="Arial" w:cs="Arial"/>
        </w:rPr>
        <w:t xml:space="preserve"> of </w:t>
      </w:r>
      <w:r w:rsidR="00936895">
        <w:rPr>
          <w:rFonts w:ascii="Arial" w:hAnsi="Arial" w:cs="Arial"/>
        </w:rPr>
        <w:t xml:space="preserve">implementing </w:t>
      </w:r>
      <w:r w:rsidR="00936895">
        <w:rPr>
          <w:rFonts w:ascii="Arial" w:hAnsi="Arial" w:cs="Arial"/>
        </w:rPr>
        <w:t xml:space="preserve">Option 7B </w:t>
      </w:r>
      <w:r w:rsidR="00936895">
        <w:rPr>
          <w:rFonts w:ascii="Arial" w:hAnsi="Arial" w:cs="Arial"/>
        </w:rPr>
        <w:t>are comparable, it may be a preferable solution, even if it is not justified by</w:t>
      </w:r>
      <w:r w:rsidR="00936895">
        <w:rPr>
          <w:rFonts w:ascii="Arial" w:hAnsi="Arial" w:cs="Arial"/>
        </w:rPr>
        <w:t xml:space="preserve"> the </w:t>
      </w:r>
      <w:r w:rsidR="00936895">
        <w:rPr>
          <w:rFonts w:ascii="Arial" w:hAnsi="Arial" w:cs="Arial"/>
        </w:rPr>
        <w:t>current forecast</w:t>
      </w:r>
      <w:r w:rsidR="00936895">
        <w:rPr>
          <w:rFonts w:ascii="Arial" w:hAnsi="Arial" w:cs="Arial"/>
        </w:rPr>
        <w:t>.</w:t>
      </w:r>
    </w:p>
    <w:p w14:paraId="57EB6633" w14:textId="08305AA3" w:rsidR="0023203E" w:rsidRPr="005E5C11" w:rsidRDefault="00E63AAF" w:rsidP="00D341F8">
      <w:pPr>
        <w:rPr>
          <w:rFonts w:ascii="Arial" w:hAnsi="Arial" w:cs="Arial"/>
        </w:rPr>
      </w:pPr>
      <w:r>
        <w:rPr>
          <w:rFonts w:ascii="Arial" w:hAnsi="Arial" w:cs="Arial"/>
        </w:rPr>
        <w:t>Given the importance of this recommendation, th</w:t>
      </w:r>
      <w:r w:rsidR="0060114B">
        <w:rPr>
          <w:rFonts w:ascii="Arial" w:hAnsi="Arial" w:cs="Arial"/>
        </w:rPr>
        <w:t>e CSCN has chosen to examine</w:t>
      </w:r>
      <w:r>
        <w:rPr>
          <w:rFonts w:ascii="Arial" w:hAnsi="Arial" w:cs="Arial"/>
        </w:rPr>
        <w:t xml:space="preserve"> Options 7A and 7B in greater detail.   </w:t>
      </w:r>
      <w:r w:rsidR="0023203E" w:rsidRPr="005E5C11">
        <w:rPr>
          <w:rFonts w:ascii="Arial" w:hAnsi="Arial" w:cs="Arial"/>
        </w:rPr>
        <w:t xml:space="preserve">Accordingly, the </w:t>
      </w:r>
      <w:r w:rsidR="00045C71" w:rsidRPr="005E5C11">
        <w:rPr>
          <w:rFonts w:ascii="Arial" w:hAnsi="Arial" w:cs="Arial"/>
        </w:rPr>
        <w:t>CSCN proposes</w:t>
      </w:r>
      <w:r w:rsidR="0023203E" w:rsidRPr="005E5C11">
        <w:rPr>
          <w:rFonts w:ascii="Arial" w:hAnsi="Arial" w:cs="Arial"/>
        </w:rPr>
        <w:t>:</w:t>
      </w:r>
    </w:p>
    <w:p w14:paraId="7CBCA564" w14:textId="6B0F4E14" w:rsidR="0023203E" w:rsidRPr="00D341F8" w:rsidRDefault="00E63AAF" w:rsidP="001351F2">
      <w:pPr>
        <w:pStyle w:val="ListParagraph"/>
        <w:numPr>
          <w:ilvl w:val="0"/>
          <w:numId w:val="38"/>
        </w:numPr>
        <w:rPr>
          <w:rFonts w:ascii="Arial" w:hAnsi="Arial"/>
          <w:lang w:val="en-CA"/>
        </w:rPr>
      </w:pPr>
      <w:r>
        <w:rPr>
          <w:rFonts w:ascii="Arial" w:hAnsi="Arial"/>
          <w:sz w:val="22"/>
          <w:lang w:val="en-CA"/>
        </w:rPr>
        <w:t xml:space="preserve">that </w:t>
      </w:r>
      <w:r w:rsidR="0023203E" w:rsidRPr="00D341F8">
        <w:rPr>
          <w:rFonts w:ascii="Arial" w:hAnsi="Arial"/>
          <w:sz w:val="22"/>
          <w:lang w:val="en-CA"/>
        </w:rPr>
        <w:t>NPAs 677 and 688</w:t>
      </w:r>
      <w:r>
        <w:rPr>
          <w:rFonts w:ascii="Arial" w:hAnsi="Arial"/>
          <w:sz w:val="22"/>
          <w:lang w:val="en-CA"/>
        </w:rPr>
        <w:t xml:space="preserve"> be reserved for extended digits</w:t>
      </w:r>
      <w:r w:rsidR="0023203E" w:rsidRPr="00D341F8">
        <w:rPr>
          <w:rFonts w:ascii="Arial" w:hAnsi="Arial"/>
          <w:sz w:val="22"/>
          <w:lang w:val="en-CA"/>
        </w:rPr>
        <w:t>; and</w:t>
      </w:r>
    </w:p>
    <w:p w14:paraId="6C21D8A0" w14:textId="7DFE9520" w:rsidR="00E93755" w:rsidRPr="00F00180" w:rsidRDefault="00E63AAF" w:rsidP="001351F2">
      <w:pPr>
        <w:pStyle w:val="ListParagraph"/>
        <w:numPr>
          <w:ilvl w:val="0"/>
          <w:numId w:val="38"/>
        </w:numPr>
        <w:rPr>
          <w:lang w:val="en-CA"/>
        </w:rPr>
      </w:pPr>
      <w:r>
        <w:rPr>
          <w:rFonts w:ascii="Arial" w:hAnsi="Arial"/>
          <w:sz w:val="22"/>
          <w:lang w:val="en-CA"/>
        </w:rPr>
        <w:t xml:space="preserve">to continue to work toward a recommendation regarding the </w:t>
      </w:r>
      <w:r w:rsidRPr="00F00180">
        <w:rPr>
          <w:rFonts w:ascii="Arial" w:hAnsi="Arial"/>
          <w:sz w:val="22"/>
          <w:lang w:val="en-CA"/>
        </w:rPr>
        <w:t xml:space="preserve">implementation of Option 7A </w:t>
      </w:r>
      <w:r>
        <w:rPr>
          <w:rFonts w:ascii="Arial" w:hAnsi="Arial"/>
          <w:sz w:val="22"/>
          <w:lang w:val="en-CA"/>
        </w:rPr>
        <w:t>or Option 7B</w:t>
      </w:r>
      <w:r w:rsidR="0023203E" w:rsidRPr="00F00180">
        <w:rPr>
          <w:rFonts w:ascii="Arial" w:hAnsi="Arial"/>
          <w:sz w:val="22"/>
          <w:lang w:val="en-CA"/>
        </w:rPr>
        <w:t>.</w:t>
      </w:r>
      <w:r w:rsidR="0023203E" w:rsidRPr="00F00180">
        <w:rPr>
          <w:rFonts w:ascii="Arial" w:hAnsi="Arial"/>
          <w:lang w:val="en-CA"/>
        </w:rPr>
        <w:t xml:space="preserve"> </w:t>
      </w:r>
    </w:p>
    <w:p w14:paraId="69805028" w14:textId="77777777" w:rsidR="007C7C10" w:rsidRDefault="007C7C10" w:rsidP="001351F2">
      <w:pPr>
        <w:rPr>
          <w:rFonts w:ascii="Arial" w:hAnsi="Arial" w:cs="Arial"/>
        </w:rPr>
      </w:pPr>
    </w:p>
    <w:p w14:paraId="7A900D3B" w14:textId="77777777" w:rsidR="007C7C10" w:rsidRDefault="007C7C10" w:rsidP="001351F2">
      <w:pPr>
        <w:pStyle w:val="Heading1"/>
        <w:numPr>
          <w:ilvl w:val="1"/>
          <w:numId w:val="44"/>
        </w:numPr>
        <w:rPr>
          <w:rFonts w:ascii="Arial" w:hAnsi="Arial"/>
          <w:sz w:val="24"/>
          <w:szCs w:val="24"/>
        </w:rPr>
      </w:pPr>
      <w:bookmarkStart w:id="67" w:name="_Toc156387051"/>
      <w:bookmarkStart w:id="68" w:name="_Toc162946406"/>
      <w:r>
        <w:rPr>
          <w:rFonts w:ascii="Arial" w:hAnsi="Arial"/>
          <w:sz w:val="24"/>
          <w:szCs w:val="24"/>
        </w:rPr>
        <w:t>Partial Solutions</w:t>
      </w:r>
      <w:bookmarkEnd w:id="67"/>
      <w:bookmarkEnd w:id="68"/>
    </w:p>
    <w:p w14:paraId="0358968F" w14:textId="77777777" w:rsidR="007C7C10" w:rsidRDefault="007C7C10" w:rsidP="001351F2"/>
    <w:p w14:paraId="7894A4D1" w14:textId="77777777" w:rsidR="00627265" w:rsidRPr="007220B7" w:rsidRDefault="00627265" w:rsidP="001351F2">
      <w:pPr>
        <w:rPr>
          <w:rFonts w:ascii="Arial" w:hAnsi="Arial" w:cs="Arial"/>
        </w:rPr>
      </w:pPr>
      <w:r>
        <w:rPr>
          <w:rFonts w:ascii="Arial" w:hAnsi="Arial" w:cs="Arial"/>
        </w:rPr>
        <w:t xml:space="preserve">Implementation of Option 7A will provide relief when NPA 677 is implemented, and this can optimistically be expected in 2027. (See Figure 5, below.)  However, should this relief be delayed or should demand for 6YY </w:t>
      </w:r>
      <w:r w:rsidR="006F06B9">
        <w:rPr>
          <w:rFonts w:ascii="Arial" w:hAnsi="Arial" w:cs="Arial"/>
        </w:rPr>
        <w:t xml:space="preserve">NXXs </w:t>
      </w:r>
      <w:r>
        <w:rPr>
          <w:rFonts w:ascii="Arial" w:hAnsi="Arial" w:cs="Arial"/>
        </w:rPr>
        <w:t xml:space="preserve">increase beyond current forecasts, Canada could face a temporary unavailability of 6YY </w:t>
      </w:r>
      <w:r w:rsidR="006F06B9">
        <w:rPr>
          <w:rFonts w:ascii="Arial" w:hAnsi="Arial" w:cs="Arial"/>
        </w:rPr>
        <w:t>NXXs</w:t>
      </w:r>
      <w:r>
        <w:rPr>
          <w:rFonts w:ascii="Arial" w:hAnsi="Arial" w:cs="Arial"/>
        </w:rPr>
        <w:t xml:space="preserve">.  (See Figure 6, below.)  For this reason, partial solutions should be considered as a means of providing short-term relief.    </w:t>
      </w:r>
    </w:p>
    <w:p w14:paraId="7983E0F4" w14:textId="77777777" w:rsidR="00102586" w:rsidRPr="006E33C3" w:rsidRDefault="00102586" w:rsidP="001351F2">
      <w:pPr>
        <w:spacing w:after="0" w:line="240" w:lineRule="auto"/>
        <w:rPr>
          <w:rFonts w:ascii="Arial" w:hAnsi="Arial" w:cs="Arial"/>
        </w:rPr>
      </w:pPr>
      <w:r w:rsidRPr="006E33C3">
        <w:rPr>
          <w:rFonts w:ascii="Arial" w:hAnsi="Arial" w:cs="Arial"/>
        </w:rPr>
        <w:t>Three partial solutions have been identified.  The</w:t>
      </w:r>
      <w:r w:rsidR="00973FB8" w:rsidRPr="006E33C3">
        <w:rPr>
          <w:rFonts w:ascii="Arial" w:hAnsi="Arial" w:cs="Arial"/>
        </w:rPr>
        <w:t>y</w:t>
      </w:r>
      <w:r w:rsidRPr="006E33C3">
        <w:rPr>
          <w:rFonts w:ascii="Arial" w:hAnsi="Arial" w:cs="Arial"/>
        </w:rPr>
        <w:t xml:space="preserve"> are:</w:t>
      </w:r>
    </w:p>
    <w:p w14:paraId="5359FABC" w14:textId="77777777" w:rsidR="00973FB8" w:rsidRPr="00F00180" w:rsidRDefault="00973FB8" w:rsidP="001351F2">
      <w:pPr>
        <w:pStyle w:val="ListParagraph"/>
        <w:numPr>
          <w:ilvl w:val="0"/>
          <w:numId w:val="36"/>
        </w:numPr>
        <w:rPr>
          <w:rFonts w:ascii="Arial" w:hAnsi="Arial"/>
          <w:sz w:val="22"/>
          <w:lang w:val="en-CA"/>
        </w:rPr>
      </w:pPr>
      <w:r w:rsidRPr="00F00180">
        <w:rPr>
          <w:rFonts w:ascii="Arial" w:hAnsi="Arial"/>
          <w:sz w:val="22"/>
          <w:lang w:val="en-CA"/>
        </w:rPr>
        <w:lastRenderedPageBreak/>
        <w:t xml:space="preserve">Option 1: Obtain Additional Non-Geographic NPAs </w:t>
      </w:r>
    </w:p>
    <w:p w14:paraId="3DF4CF25" w14:textId="77777777" w:rsidR="00973FB8" w:rsidRPr="00F00180" w:rsidRDefault="00973FB8" w:rsidP="001351F2">
      <w:pPr>
        <w:pStyle w:val="ListParagraph"/>
        <w:numPr>
          <w:ilvl w:val="0"/>
          <w:numId w:val="36"/>
        </w:numPr>
        <w:rPr>
          <w:rFonts w:ascii="Arial" w:hAnsi="Arial"/>
          <w:sz w:val="22"/>
          <w:lang w:val="en-CA"/>
        </w:rPr>
      </w:pPr>
      <w:r w:rsidRPr="00F00180">
        <w:rPr>
          <w:rFonts w:ascii="Arial" w:hAnsi="Arial"/>
          <w:sz w:val="22"/>
          <w:lang w:val="en-CA"/>
        </w:rPr>
        <w:t>Option 4: Partition NPA 600</w:t>
      </w:r>
    </w:p>
    <w:p w14:paraId="73BB97E7" w14:textId="77777777" w:rsidR="006E599B" w:rsidRPr="00F00180" w:rsidRDefault="00973FB8" w:rsidP="001351F2">
      <w:pPr>
        <w:pStyle w:val="ListParagraph"/>
        <w:numPr>
          <w:ilvl w:val="0"/>
          <w:numId w:val="36"/>
        </w:numPr>
        <w:rPr>
          <w:lang w:val="en-CA"/>
        </w:rPr>
      </w:pPr>
      <w:r w:rsidRPr="00F00180">
        <w:rPr>
          <w:rFonts w:ascii="Arial" w:hAnsi="Arial"/>
          <w:sz w:val="22"/>
          <w:lang w:val="en-CA"/>
        </w:rPr>
        <w:t xml:space="preserve">Option 5: Remove N11 and 555 </w:t>
      </w:r>
      <w:r w:rsidR="00516B47">
        <w:rPr>
          <w:rFonts w:ascii="Arial" w:hAnsi="Arial" w:cs="Arial"/>
          <w:sz w:val="22"/>
          <w:szCs w:val="22"/>
        </w:rPr>
        <w:t xml:space="preserve">NXX </w:t>
      </w:r>
      <w:r w:rsidRPr="00F00180">
        <w:rPr>
          <w:rFonts w:ascii="Arial" w:hAnsi="Arial"/>
          <w:sz w:val="22"/>
          <w:lang w:val="en-CA"/>
        </w:rPr>
        <w:t>restriction</w:t>
      </w:r>
      <w:r w:rsidR="001110AF" w:rsidRPr="00F00180">
        <w:rPr>
          <w:rFonts w:ascii="Arial" w:hAnsi="Arial"/>
          <w:sz w:val="22"/>
          <w:lang w:val="en-CA"/>
        </w:rPr>
        <w:t>s</w:t>
      </w:r>
      <w:r w:rsidRPr="00F00180">
        <w:rPr>
          <w:rFonts w:ascii="Arial" w:hAnsi="Arial"/>
          <w:sz w:val="22"/>
          <w:lang w:val="en-CA"/>
        </w:rPr>
        <w:t xml:space="preserve"> in 6YY </w:t>
      </w:r>
      <w:proofErr w:type="gramStart"/>
      <w:r w:rsidR="001F18B9" w:rsidRPr="00F00180">
        <w:rPr>
          <w:rFonts w:ascii="Arial" w:hAnsi="Arial"/>
          <w:sz w:val="22"/>
          <w:lang w:val="en-CA"/>
        </w:rPr>
        <w:t>NPAs</w:t>
      </w:r>
      <w:proofErr w:type="gramEnd"/>
    </w:p>
    <w:p w14:paraId="7EBF7479" w14:textId="77777777" w:rsidR="006E599B" w:rsidRDefault="006E599B" w:rsidP="001351F2">
      <w:pPr>
        <w:rPr>
          <w:rFonts w:ascii="Arial" w:hAnsi="Arial" w:cs="Arial"/>
        </w:rPr>
      </w:pPr>
    </w:p>
    <w:p w14:paraId="11E43408" w14:textId="24DD6E07" w:rsidR="002A2C63" w:rsidRDefault="002A2C63" w:rsidP="001351F2">
      <w:pPr>
        <w:spacing w:after="0" w:line="240" w:lineRule="auto"/>
        <w:rPr>
          <w:rFonts w:ascii="Arial" w:hAnsi="Arial" w:cs="Arial"/>
        </w:rPr>
      </w:pPr>
      <w:r w:rsidRPr="007220B7">
        <w:rPr>
          <w:rFonts w:ascii="Arial" w:hAnsi="Arial" w:cs="Arial"/>
        </w:rPr>
        <w:t>Option 1 is the simplest and likely the least expensive.  If even a single additional NPA is obtained, it will provide more relief (791 NXXs) than either Option 4 or Option 5.   NANP</w:t>
      </w:r>
      <w:r w:rsidR="00397FB5">
        <w:rPr>
          <w:rFonts w:ascii="Arial" w:hAnsi="Arial" w:cs="Arial"/>
        </w:rPr>
        <w:t>A</w:t>
      </w:r>
      <w:r w:rsidRPr="007220B7">
        <w:rPr>
          <w:rFonts w:ascii="Arial" w:hAnsi="Arial" w:cs="Arial"/>
        </w:rPr>
        <w:t>’s position is uncertain, but asking would not present any apparent risk.  Should additional NPAs be obtained, it will reduce the risk of exhaust being reached in the event of implementation problems for the full solution.</w:t>
      </w:r>
      <w:r w:rsidR="00C50713">
        <w:rPr>
          <w:rFonts w:ascii="Arial" w:hAnsi="Arial" w:cs="Arial"/>
        </w:rPr>
        <w:t xml:space="preserve"> </w:t>
      </w:r>
      <w:r>
        <w:rPr>
          <w:rFonts w:ascii="Arial" w:hAnsi="Arial" w:cs="Arial"/>
        </w:rPr>
        <w:t xml:space="preserve"> </w:t>
      </w:r>
    </w:p>
    <w:p w14:paraId="7AACC3EF" w14:textId="77777777" w:rsidR="00321BE7" w:rsidRDefault="00321BE7" w:rsidP="001351F2">
      <w:pPr>
        <w:spacing w:after="0" w:line="240" w:lineRule="auto"/>
        <w:rPr>
          <w:rFonts w:ascii="Arial" w:hAnsi="Arial" w:cs="Arial"/>
        </w:rPr>
      </w:pPr>
    </w:p>
    <w:p w14:paraId="50E5AE65" w14:textId="5B1D458E" w:rsidR="007B508A" w:rsidRPr="007220B7" w:rsidRDefault="007B508A" w:rsidP="001351F2">
      <w:pPr>
        <w:spacing w:after="0" w:line="240" w:lineRule="auto"/>
        <w:rPr>
          <w:rFonts w:ascii="Arial" w:hAnsi="Arial" w:cs="Arial"/>
        </w:rPr>
      </w:pPr>
      <w:r w:rsidRPr="007220B7">
        <w:rPr>
          <w:rFonts w:ascii="Arial" w:hAnsi="Arial" w:cs="Arial"/>
        </w:rPr>
        <w:t xml:space="preserve">Option 4 would provide nearly a full NPA (768 NXXs) of relief with </w:t>
      </w:r>
      <w:r w:rsidR="00D32D05">
        <w:rPr>
          <w:rFonts w:ascii="Arial" w:hAnsi="Arial" w:cs="Arial"/>
        </w:rPr>
        <w:t xml:space="preserve">a </w:t>
      </w:r>
      <w:r w:rsidR="00D32D05">
        <w:rPr>
          <w:rFonts w:ascii="Arial" w:hAnsi="Arial" w:cs="Arial"/>
        </w:rPr>
        <w:t>straightforward implementation</w:t>
      </w:r>
      <w:r w:rsidRPr="007220B7">
        <w:rPr>
          <w:rFonts w:ascii="Arial" w:hAnsi="Arial" w:cs="Arial"/>
        </w:rPr>
        <w:t>.</w:t>
      </w:r>
      <w:r w:rsidRPr="007220B7">
        <w:rPr>
          <w:rFonts w:ascii="Arial" w:hAnsi="Arial" w:cs="Arial"/>
        </w:rPr>
        <w:t xml:space="preserve">  Option 5 would provide much less relief (</w:t>
      </w:r>
      <w:r w:rsidR="00516B47">
        <w:rPr>
          <w:rFonts w:ascii="Arial" w:hAnsi="Arial" w:cs="Arial"/>
        </w:rPr>
        <w:t>8x6=</w:t>
      </w:r>
      <w:r w:rsidR="001405AB">
        <w:rPr>
          <w:rFonts w:ascii="Arial" w:hAnsi="Arial" w:cs="Arial"/>
        </w:rPr>
        <w:t>48</w:t>
      </w:r>
      <w:r w:rsidR="001405AB" w:rsidRPr="007220B7">
        <w:rPr>
          <w:rFonts w:ascii="Arial" w:hAnsi="Arial" w:cs="Arial"/>
        </w:rPr>
        <w:t xml:space="preserve"> </w:t>
      </w:r>
      <w:r w:rsidRPr="007220B7">
        <w:rPr>
          <w:rFonts w:ascii="Arial" w:hAnsi="Arial" w:cs="Arial"/>
        </w:rPr>
        <w:t xml:space="preserve">NXXs if </w:t>
      </w:r>
      <w:r w:rsidR="00516B47">
        <w:rPr>
          <w:rFonts w:ascii="Arial" w:hAnsi="Arial" w:cs="Arial"/>
        </w:rPr>
        <w:t xml:space="preserve">the N11 NXXs and </w:t>
      </w:r>
      <w:r w:rsidRPr="007220B7">
        <w:rPr>
          <w:rFonts w:ascii="Arial" w:hAnsi="Arial" w:cs="Arial"/>
        </w:rPr>
        <w:t xml:space="preserve">555 </w:t>
      </w:r>
      <w:r w:rsidR="00516B47">
        <w:rPr>
          <w:rFonts w:ascii="Arial" w:hAnsi="Arial" w:cs="Arial"/>
        </w:rPr>
        <w:t xml:space="preserve">are </w:t>
      </w:r>
      <w:r w:rsidRPr="007220B7">
        <w:rPr>
          <w:rFonts w:ascii="Arial" w:hAnsi="Arial" w:cs="Arial"/>
        </w:rPr>
        <w:t>assigned</w:t>
      </w:r>
      <w:r w:rsidRPr="007220B7">
        <w:rPr>
          <w:rFonts w:ascii="Arial" w:hAnsi="Arial" w:cs="Arial"/>
        </w:rPr>
        <w:t xml:space="preserve">), but also has a </w:t>
      </w:r>
      <w:r w:rsidR="00D32D05">
        <w:rPr>
          <w:rFonts w:ascii="Arial" w:hAnsi="Arial" w:cs="Arial"/>
        </w:rPr>
        <w:t>straightforward implementation</w:t>
      </w:r>
      <w:r w:rsidRPr="007220B7">
        <w:rPr>
          <w:rFonts w:ascii="Arial" w:hAnsi="Arial" w:cs="Arial"/>
        </w:rPr>
        <w:t xml:space="preserve"> and has the additional benefit of aligning Canada’s 6YY assignment guideline more closely with that for the USA’s </w:t>
      </w:r>
      <w:r w:rsidR="00D956B4">
        <w:rPr>
          <w:rFonts w:ascii="Arial" w:hAnsi="Arial" w:cs="Arial"/>
        </w:rPr>
        <w:t>5XX</w:t>
      </w:r>
      <w:r w:rsidR="00D956B4" w:rsidRPr="007220B7">
        <w:rPr>
          <w:rFonts w:ascii="Arial" w:hAnsi="Arial" w:cs="Arial"/>
        </w:rPr>
        <w:t xml:space="preserve"> </w:t>
      </w:r>
      <w:r w:rsidR="00D956B4">
        <w:rPr>
          <w:rFonts w:ascii="Arial" w:hAnsi="Arial" w:cs="Arial"/>
        </w:rPr>
        <w:t>guideline</w:t>
      </w:r>
      <w:r w:rsidRPr="007220B7">
        <w:rPr>
          <w:rFonts w:ascii="Arial" w:hAnsi="Arial" w:cs="Arial"/>
        </w:rPr>
        <w:t xml:space="preserve">.  Since both require changes to the </w:t>
      </w:r>
      <w:r w:rsidRPr="007220B7">
        <w:rPr>
          <w:rFonts w:ascii="Arial" w:hAnsi="Arial" w:cs="Arial"/>
          <w:i/>
          <w:iCs/>
        </w:rPr>
        <w:t>Canadian Non-Geographic Code Assignment Guideline</w:t>
      </w:r>
      <w:r w:rsidRPr="007220B7">
        <w:rPr>
          <w:rFonts w:ascii="Arial" w:hAnsi="Arial" w:cs="Arial"/>
        </w:rPr>
        <w:t xml:space="preserve"> and within the Canadian networks, there would be an efficiency to doing both at </w:t>
      </w:r>
      <w:proofErr w:type="gramStart"/>
      <w:r w:rsidRPr="007220B7">
        <w:rPr>
          <w:rFonts w:ascii="Arial" w:hAnsi="Arial" w:cs="Arial"/>
        </w:rPr>
        <w:t>once, and</w:t>
      </w:r>
      <w:proofErr w:type="gramEnd"/>
      <w:r w:rsidRPr="007220B7">
        <w:rPr>
          <w:rFonts w:ascii="Arial" w:hAnsi="Arial" w:cs="Arial"/>
        </w:rPr>
        <w:t xml:space="preserve"> obtaining more than the equivalent of an additional NPA through more efficient use of the NPAs currently available.  </w:t>
      </w:r>
    </w:p>
    <w:p w14:paraId="16603B3A" w14:textId="77777777" w:rsidR="007B508A" w:rsidRPr="007220B7" w:rsidRDefault="007B508A" w:rsidP="001351F2">
      <w:pPr>
        <w:spacing w:after="0" w:line="240" w:lineRule="auto"/>
        <w:rPr>
          <w:rFonts w:ascii="Arial" w:hAnsi="Arial" w:cs="Arial"/>
        </w:rPr>
      </w:pPr>
    </w:p>
    <w:p w14:paraId="04CCCE15" w14:textId="77777777" w:rsidR="007B508A" w:rsidRPr="007220B7" w:rsidRDefault="001A4713" w:rsidP="001351F2">
      <w:pPr>
        <w:spacing w:after="0" w:line="240" w:lineRule="auto"/>
        <w:rPr>
          <w:rFonts w:ascii="Arial" w:hAnsi="Arial" w:cs="Arial"/>
        </w:rPr>
      </w:pPr>
      <w:r w:rsidRPr="007220B7">
        <w:rPr>
          <w:rFonts w:ascii="Arial" w:hAnsi="Arial" w:cs="Arial"/>
        </w:rPr>
        <w:t xml:space="preserve">The </w:t>
      </w:r>
      <w:r w:rsidR="007B508A" w:rsidRPr="007220B7">
        <w:rPr>
          <w:rFonts w:ascii="Arial" w:hAnsi="Arial" w:cs="Arial"/>
        </w:rPr>
        <w:t xml:space="preserve">CSCN estimates that Options 4 and 5 </w:t>
      </w:r>
      <w:r w:rsidR="00380748" w:rsidRPr="007220B7">
        <w:rPr>
          <w:rFonts w:ascii="Arial" w:hAnsi="Arial" w:cs="Arial"/>
        </w:rPr>
        <w:t>c</w:t>
      </w:r>
      <w:r w:rsidR="00380748">
        <w:rPr>
          <w:rFonts w:ascii="Arial" w:hAnsi="Arial" w:cs="Arial"/>
        </w:rPr>
        <w:t>ould</w:t>
      </w:r>
      <w:r w:rsidR="00380748" w:rsidRPr="007220B7">
        <w:rPr>
          <w:rFonts w:ascii="Arial" w:hAnsi="Arial" w:cs="Arial"/>
        </w:rPr>
        <w:t xml:space="preserve"> </w:t>
      </w:r>
      <w:r w:rsidRPr="007220B7">
        <w:rPr>
          <w:rFonts w:ascii="Arial" w:hAnsi="Arial" w:cs="Arial"/>
        </w:rPr>
        <w:t xml:space="preserve">be implemented within 1 year from the date of </w:t>
      </w:r>
      <w:r w:rsidR="00C636D6">
        <w:rPr>
          <w:rFonts w:ascii="Arial" w:hAnsi="Arial" w:cs="Arial"/>
        </w:rPr>
        <w:t xml:space="preserve">CRTC </w:t>
      </w:r>
      <w:r w:rsidRPr="007220B7">
        <w:rPr>
          <w:rFonts w:ascii="Arial" w:hAnsi="Arial" w:cs="Arial"/>
        </w:rPr>
        <w:t>approval</w:t>
      </w:r>
      <w:r w:rsidR="00C636D6">
        <w:rPr>
          <w:rFonts w:ascii="Arial" w:hAnsi="Arial" w:cs="Arial"/>
        </w:rPr>
        <w:t xml:space="preserve"> of the recommendations in this report</w:t>
      </w:r>
      <w:r w:rsidRPr="007220B7">
        <w:rPr>
          <w:rFonts w:ascii="Arial" w:hAnsi="Arial" w:cs="Arial"/>
        </w:rPr>
        <w:t xml:space="preserve">.  With </w:t>
      </w:r>
      <w:r w:rsidR="00C636D6">
        <w:rPr>
          <w:rFonts w:ascii="Arial" w:hAnsi="Arial" w:cs="Arial"/>
        </w:rPr>
        <w:t>implementation of partial solutions</w:t>
      </w:r>
      <w:r w:rsidRPr="007220B7">
        <w:rPr>
          <w:rFonts w:ascii="Arial" w:hAnsi="Arial" w:cs="Arial"/>
        </w:rPr>
        <w:t>, the CSCN does</w:t>
      </w:r>
      <w:r w:rsidR="00C636D6">
        <w:rPr>
          <w:rFonts w:ascii="Arial" w:hAnsi="Arial" w:cs="Arial"/>
        </w:rPr>
        <w:t xml:space="preserve"> </w:t>
      </w:r>
      <w:r w:rsidRPr="007220B7">
        <w:rPr>
          <w:rFonts w:ascii="Arial" w:hAnsi="Arial" w:cs="Arial"/>
        </w:rPr>
        <w:t xml:space="preserve">not expect that 6YY </w:t>
      </w:r>
      <w:r w:rsidR="00C636D6">
        <w:rPr>
          <w:rFonts w:ascii="Arial" w:hAnsi="Arial" w:cs="Arial"/>
        </w:rPr>
        <w:t>NPAs</w:t>
      </w:r>
      <w:r w:rsidR="00C636D6" w:rsidRPr="007220B7">
        <w:rPr>
          <w:rFonts w:ascii="Arial" w:hAnsi="Arial" w:cs="Arial"/>
        </w:rPr>
        <w:t xml:space="preserve"> </w:t>
      </w:r>
      <w:r w:rsidRPr="007220B7">
        <w:rPr>
          <w:rFonts w:ascii="Arial" w:hAnsi="Arial" w:cs="Arial"/>
        </w:rPr>
        <w:t>will exhaust before relief comes in the form of a full solution.</w:t>
      </w:r>
    </w:p>
    <w:p w14:paraId="400A9CF9" w14:textId="77777777" w:rsidR="007B508A" w:rsidRPr="007220B7" w:rsidRDefault="007B508A" w:rsidP="001351F2">
      <w:pPr>
        <w:spacing w:after="0" w:line="240" w:lineRule="auto"/>
        <w:rPr>
          <w:rFonts w:ascii="Arial" w:hAnsi="Arial" w:cs="Arial"/>
        </w:rPr>
      </w:pPr>
    </w:p>
    <w:p w14:paraId="7234CFC6" w14:textId="77777777" w:rsidR="00D563E9" w:rsidRPr="007220B7" w:rsidRDefault="00D563E9" w:rsidP="001351F2">
      <w:pPr>
        <w:spacing w:after="0" w:line="240" w:lineRule="auto"/>
        <w:rPr>
          <w:rFonts w:ascii="Arial" w:hAnsi="Arial" w:cs="Arial"/>
        </w:rPr>
      </w:pPr>
    </w:p>
    <w:p w14:paraId="6F13DE88" w14:textId="77777777" w:rsidR="00FC691B" w:rsidRDefault="00845AF0" w:rsidP="001351F2">
      <w:pPr>
        <w:spacing w:after="0" w:line="240" w:lineRule="auto"/>
        <w:rPr>
          <w:rFonts w:ascii="Arial" w:hAnsi="Arial" w:cs="Arial"/>
        </w:rPr>
      </w:pPr>
      <w:r w:rsidRPr="00F66ABC">
        <w:rPr>
          <w:rFonts w:ascii="Arial" w:hAnsi="Arial" w:cs="Arial"/>
        </w:rPr>
        <w:t xml:space="preserve">Accordingly, the CSCN </w:t>
      </w:r>
      <w:r w:rsidR="00045C71">
        <w:rPr>
          <w:rFonts w:ascii="Arial" w:hAnsi="Arial" w:cs="Arial"/>
        </w:rPr>
        <w:t xml:space="preserve">proposes </w:t>
      </w:r>
      <w:r w:rsidRPr="00F66ABC">
        <w:rPr>
          <w:rFonts w:ascii="Arial" w:hAnsi="Arial" w:cs="Arial"/>
        </w:rPr>
        <w:t>that</w:t>
      </w:r>
      <w:r w:rsidR="00FC691B">
        <w:rPr>
          <w:rFonts w:ascii="Arial" w:hAnsi="Arial" w:cs="Arial"/>
        </w:rPr>
        <w:t xml:space="preserve">: </w:t>
      </w:r>
    </w:p>
    <w:p w14:paraId="684CEE21" w14:textId="77777777" w:rsidR="00FC691B" w:rsidRPr="00F00180" w:rsidRDefault="00FC691B" w:rsidP="001351F2">
      <w:pPr>
        <w:pStyle w:val="ListParagraph"/>
        <w:numPr>
          <w:ilvl w:val="0"/>
          <w:numId w:val="46"/>
        </w:numPr>
        <w:rPr>
          <w:rFonts w:ascii="Arial" w:hAnsi="Arial"/>
          <w:sz w:val="22"/>
          <w:lang w:val="en-CA"/>
        </w:rPr>
      </w:pPr>
      <w:r w:rsidRPr="00F00180">
        <w:rPr>
          <w:rFonts w:ascii="Arial" w:hAnsi="Arial"/>
          <w:sz w:val="22"/>
          <w:lang w:val="en-CA"/>
        </w:rPr>
        <w:t>Options 4 &amp; 5 be implemented; and</w:t>
      </w:r>
    </w:p>
    <w:p w14:paraId="6A586963" w14:textId="77777777" w:rsidR="00FC691B" w:rsidRPr="00F00180" w:rsidRDefault="00504D71" w:rsidP="001351F2">
      <w:pPr>
        <w:pStyle w:val="ListParagraph"/>
        <w:numPr>
          <w:ilvl w:val="0"/>
          <w:numId w:val="46"/>
        </w:numPr>
        <w:rPr>
          <w:rFonts w:ascii="Arial" w:hAnsi="Arial"/>
          <w:sz w:val="22"/>
          <w:lang w:val="en-CA"/>
        </w:rPr>
      </w:pPr>
      <w:r w:rsidRPr="00F00180">
        <w:rPr>
          <w:rFonts w:ascii="Arial" w:hAnsi="Arial"/>
          <w:sz w:val="22"/>
          <w:lang w:val="en-CA"/>
        </w:rPr>
        <w:t>t</w:t>
      </w:r>
      <w:r w:rsidR="00FC691B" w:rsidRPr="00F00180">
        <w:rPr>
          <w:rFonts w:ascii="Arial" w:hAnsi="Arial"/>
          <w:sz w:val="22"/>
          <w:lang w:val="en-CA"/>
        </w:rPr>
        <w:t>he CRTC pursue Option 1.</w:t>
      </w:r>
    </w:p>
    <w:p w14:paraId="5CCFEF67" w14:textId="77777777" w:rsidR="00A52309" w:rsidRPr="007220B7" w:rsidRDefault="00A52309" w:rsidP="001351F2">
      <w:pPr>
        <w:spacing w:after="0" w:line="240" w:lineRule="auto"/>
        <w:rPr>
          <w:rFonts w:ascii="Arial" w:hAnsi="Arial" w:cs="Arial"/>
        </w:rPr>
      </w:pPr>
    </w:p>
    <w:p w14:paraId="30202699" w14:textId="77777777" w:rsidR="007C7C10" w:rsidRDefault="007C7C10" w:rsidP="001351F2">
      <w:pPr>
        <w:rPr>
          <w:rFonts w:ascii="Arial" w:hAnsi="Arial" w:cs="Arial"/>
        </w:rPr>
      </w:pPr>
    </w:p>
    <w:p w14:paraId="5C758FCD" w14:textId="77777777" w:rsidR="007C7C10" w:rsidRDefault="007C7C10" w:rsidP="001351F2">
      <w:pPr>
        <w:pStyle w:val="Heading1"/>
        <w:numPr>
          <w:ilvl w:val="1"/>
          <w:numId w:val="44"/>
        </w:numPr>
        <w:rPr>
          <w:rFonts w:ascii="Arial" w:hAnsi="Arial"/>
          <w:sz w:val="24"/>
          <w:szCs w:val="24"/>
        </w:rPr>
      </w:pPr>
      <w:bookmarkStart w:id="69" w:name="_Toc156387052"/>
      <w:bookmarkStart w:id="70" w:name="_Toc162946407"/>
      <w:r>
        <w:rPr>
          <w:rFonts w:ascii="Arial" w:hAnsi="Arial"/>
          <w:sz w:val="24"/>
          <w:szCs w:val="24"/>
        </w:rPr>
        <w:t>Other Remedies</w:t>
      </w:r>
      <w:bookmarkEnd w:id="69"/>
      <w:bookmarkEnd w:id="70"/>
    </w:p>
    <w:p w14:paraId="251A8B9C" w14:textId="77777777" w:rsidR="007C7C10" w:rsidRDefault="007C7C10" w:rsidP="001351F2"/>
    <w:p w14:paraId="066A94E0" w14:textId="2FC21898" w:rsidR="00973FB8" w:rsidRPr="007220B7" w:rsidRDefault="00973FB8" w:rsidP="001351F2">
      <w:pPr>
        <w:spacing w:after="0" w:line="240" w:lineRule="auto"/>
        <w:rPr>
          <w:rFonts w:ascii="Arial" w:hAnsi="Arial" w:cs="Arial"/>
        </w:rPr>
      </w:pPr>
      <w:r w:rsidRPr="007220B7">
        <w:rPr>
          <w:rFonts w:ascii="Arial" w:hAnsi="Arial" w:cs="Arial"/>
        </w:rPr>
        <w:t xml:space="preserve">Three other </w:t>
      </w:r>
      <w:r w:rsidR="00816DE5" w:rsidRPr="007220B7">
        <w:rPr>
          <w:rFonts w:ascii="Arial" w:hAnsi="Arial" w:cs="Arial"/>
        </w:rPr>
        <w:t xml:space="preserve">remedies </w:t>
      </w:r>
      <w:r w:rsidRPr="007220B7">
        <w:rPr>
          <w:rFonts w:ascii="Arial" w:hAnsi="Arial" w:cs="Arial"/>
        </w:rPr>
        <w:t>have been identified</w:t>
      </w:r>
      <w:r w:rsidR="00C424DF">
        <w:rPr>
          <w:rFonts w:ascii="Arial" w:hAnsi="Arial" w:cs="Arial"/>
        </w:rPr>
        <w:t xml:space="preserve"> by the CSCN</w:t>
      </w:r>
      <w:r w:rsidRPr="007220B7">
        <w:rPr>
          <w:rFonts w:ascii="Arial" w:hAnsi="Arial" w:cs="Arial"/>
        </w:rPr>
        <w:t>.  They are:</w:t>
      </w:r>
    </w:p>
    <w:p w14:paraId="41DE0781" w14:textId="53111E92" w:rsidR="00973FB8" w:rsidRPr="00F00180" w:rsidRDefault="00973FB8" w:rsidP="001351F2">
      <w:pPr>
        <w:pStyle w:val="ListParagraph"/>
        <w:numPr>
          <w:ilvl w:val="0"/>
          <w:numId w:val="33"/>
        </w:numPr>
        <w:rPr>
          <w:rFonts w:ascii="Arial" w:hAnsi="Arial"/>
          <w:sz w:val="22"/>
          <w:lang w:val="en-CA"/>
        </w:rPr>
      </w:pPr>
      <w:r w:rsidRPr="00F00180">
        <w:rPr>
          <w:rFonts w:ascii="Arial" w:hAnsi="Arial"/>
          <w:sz w:val="22"/>
          <w:lang w:val="en-CA"/>
        </w:rPr>
        <w:t xml:space="preserve">Option 2: Utilize </w:t>
      </w:r>
      <w:r w:rsidR="001405AB" w:rsidRPr="007220B7">
        <w:rPr>
          <w:rFonts w:ascii="Arial" w:hAnsi="Arial" w:cs="Arial"/>
          <w:sz w:val="22"/>
          <w:szCs w:val="22"/>
        </w:rPr>
        <w:t>NPA</w:t>
      </w:r>
      <w:r w:rsidR="001405AB">
        <w:rPr>
          <w:rFonts w:ascii="Arial" w:hAnsi="Arial" w:cs="Arial"/>
          <w:sz w:val="22"/>
          <w:szCs w:val="22"/>
        </w:rPr>
        <w:t xml:space="preserve"> </w:t>
      </w:r>
      <w:r w:rsidR="001405AB">
        <w:rPr>
          <w:rFonts w:ascii="Arial" w:hAnsi="Arial" w:cs="Arial"/>
          <w:sz w:val="22"/>
          <w:szCs w:val="22"/>
        </w:rPr>
        <w:t>010</w:t>
      </w:r>
    </w:p>
    <w:p w14:paraId="7DD2A731" w14:textId="77777777" w:rsidR="00973FB8" w:rsidRPr="00F00180" w:rsidRDefault="00973FB8" w:rsidP="001351F2">
      <w:pPr>
        <w:pStyle w:val="ListParagraph"/>
        <w:numPr>
          <w:ilvl w:val="0"/>
          <w:numId w:val="33"/>
        </w:numPr>
        <w:rPr>
          <w:rFonts w:ascii="Arial" w:hAnsi="Arial"/>
          <w:sz w:val="22"/>
          <w:lang w:val="en-CA"/>
        </w:rPr>
      </w:pPr>
      <w:r w:rsidRPr="00F00180">
        <w:rPr>
          <w:rFonts w:ascii="Arial" w:hAnsi="Arial"/>
          <w:sz w:val="22"/>
          <w:lang w:val="en-CA"/>
        </w:rPr>
        <w:t xml:space="preserve">Option 3: Utilize </w:t>
      </w:r>
      <w:r w:rsidR="00576391" w:rsidRPr="00F00180">
        <w:rPr>
          <w:rFonts w:ascii="Arial" w:hAnsi="Arial"/>
          <w:sz w:val="22"/>
          <w:lang w:val="en-CA"/>
        </w:rPr>
        <w:t xml:space="preserve">alternative numbering </w:t>
      </w:r>
      <w:proofErr w:type="gramStart"/>
      <w:r w:rsidR="00576391" w:rsidRPr="00F00180">
        <w:rPr>
          <w:rFonts w:ascii="Arial" w:hAnsi="Arial"/>
          <w:sz w:val="22"/>
          <w:lang w:val="en-CA"/>
        </w:rPr>
        <w:t>scheme</w:t>
      </w:r>
      <w:proofErr w:type="gramEnd"/>
    </w:p>
    <w:p w14:paraId="15650002" w14:textId="77777777" w:rsidR="00973FB8" w:rsidRPr="00F00180" w:rsidRDefault="00973FB8" w:rsidP="001351F2">
      <w:pPr>
        <w:pStyle w:val="ListParagraph"/>
        <w:numPr>
          <w:ilvl w:val="0"/>
          <w:numId w:val="33"/>
        </w:numPr>
        <w:rPr>
          <w:rFonts w:ascii="Arial" w:hAnsi="Arial"/>
          <w:sz w:val="22"/>
          <w:lang w:val="en-CA"/>
        </w:rPr>
      </w:pPr>
      <w:r w:rsidRPr="00F00180">
        <w:rPr>
          <w:rFonts w:ascii="Arial" w:hAnsi="Arial"/>
          <w:sz w:val="22"/>
          <w:lang w:val="en-CA"/>
        </w:rPr>
        <w:t xml:space="preserve">Option 6: New IoT/M2M Network Addressing Standards </w:t>
      </w:r>
    </w:p>
    <w:p w14:paraId="5EBE1448" w14:textId="77777777" w:rsidR="00AE4DE5" w:rsidRPr="00F00180" w:rsidRDefault="00AE4DE5" w:rsidP="001351F2">
      <w:pPr>
        <w:rPr>
          <w:rFonts w:ascii="Arial" w:hAnsi="Arial"/>
        </w:rPr>
      </w:pPr>
    </w:p>
    <w:p w14:paraId="3D1CF9E7" w14:textId="0FF67680" w:rsidR="00AE4DE5" w:rsidRPr="00F00180" w:rsidRDefault="00AE4DE5" w:rsidP="001351F2">
      <w:pPr>
        <w:rPr>
          <w:rFonts w:ascii="Arial" w:hAnsi="Arial"/>
        </w:rPr>
      </w:pPr>
      <w:r w:rsidRPr="00F00180">
        <w:rPr>
          <w:rFonts w:ascii="Arial" w:hAnsi="Arial"/>
        </w:rPr>
        <w:t xml:space="preserve">Option 2 is for </w:t>
      </w:r>
      <w:r w:rsidR="00EC3D27" w:rsidRPr="00F00180">
        <w:rPr>
          <w:rFonts w:ascii="Arial" w:hAnsi="Arial"/>
        </w:rPr>
        <w:t>C</w:t>
      </w:r>
      <w:r w:rsidRPr="00F00180">
        <w:rPr>
          <w:rFonts w:ascii="Arial" w:hAnsi="Arial"/>
        </w:rPr>
        <w:t xml:space="preserve">arriers to activate NPA 010 within their own networks </w:t>
      </w:r>
      <w:r w:rsidR="00EC3D27" w:rsidRPr="00F00180">
        <w:rPr>
          <w:rFonts w:ascii="Arial" w:hAnsi="Arial"/>
        </w:rPr>
        <w:t>if</w:t>
      </w:r>
      <w:r w:rsidRPr="00F00180">
        <w:rPr>
          <w:rFonts w:ascii="Arial" w:hAnsi="Arial"/>
        </w:rPr>
        <w:t xml:space="preserve"> their </w:t>
      </w:r>
      <w:r w:rsidR="00FC3B19" w:rsidRPr="00F00180">
        <w:rPr>
          <w:rFonts w:ascii="Arial" w:hAnsi="Arial"/>
        </w:rPr>
        <w:t xml:space="preserve">support systems </w:t>
      </w:r>
      <w:r w:rsidRPr="00F00180">
        <w:rPr>
          <w:rFonts w:ascii="Arial" w:hAnsi="Arial"/>
        </w:rPr>
        <w:t xml:space="preserve">can support NPA 010.  Some </w:t>
      </w:r>
      <w:r w:rsidR="00F064C9" w:rsidRPr="00F00180">
        <w:rPr>
          <w:rFonts w:ascii="Arial" w:hAnsi="Arial"/>
        </w:rPr>
        <w:t>C</w:t>
      </w:r>
      <w:r w:rsidRPr="00F00180">
        <w:rPr>
          <w:rFonts w:ascii="Arial" w:hAnsi="Arial"/>
        </w:rPr>
        <w:t xml:space="preserve">arriers could potentially </w:t>
      </w:r>
      <w:r w:rsidR="001405AB">
        <w:rPr>
          <w:rFonts w:ascii="Arial" w:hAnsi="Arial" w:cs="Arial"/>
          <w:lang w:val="en-US"/>
        </w:rPr>
        <w:t>implement</w:t>
      </w:r>
      <w:r w:rsidR="001405AB" w:rsidRPr="00E63AAF">
        <w:rPr>
          <w:rFonts w:ascii="Arial" w:hAnsi="Arial"/>
          <w:lang w:val="en-US"/>
        </w:rPr>
        <w:t xml:space="preserve"> </w:t>
      </w:r>
      <w:r w:rsidRPr="00F00180">
        <w:rPr>
          <w:rFonts w:ascii="Arial" w:hAnsi="Arial"/>
        </w:rPr>
        <w:t xml:space="preserve">NPA 010 in a very short </w:t>
      </w:r>
      <w:r w:rsidR="00B46FAE" w:rsidRPr="00F00180">
        <w:rPr>
          <w:rFonts w:ascii="Arial" w:hAnsi="Arial"/>
        </w:rPr>
        <w:t>time</w:t>
      </w:r>
      <w:r w:rsidRPr="00F00180">
        <w:rPr>
          <w:rFonts w:ascii="Arial" w:hAnsi="Arial"/>
        </w:rPr>
        <w:t xml:space="preserve"> while others may encounter internal issues</w:t>
      </w:r>
      <w:r w:rsidR="003B2099" w:rsidRPr="00F00180">
        <w:rPr>
          <w:rFonts w:ascii="Arial" w:hAnsi="Arial"/>
        </w:rPr>
        <w:t xml:space="preserve"> relating to their own support systems</w:t>
      </w:r>
      <w:r w:rsidRPr="00F00180">
        <w:rPr>
          <w:rFonts w:ascii="Arial" w:hAnsi="Arial"/>
        </w:rPr>
        <w:t xml:space="preserve">.  </w:t>
      </w:r>
    </w:p>
    <w:p w14:paraId="1BABF467" w14:textId="77777777" w:rsidR="00AE4DE5" w:rsidRPr="00F00180" w:rsidRDefault="00AE4DE5" w:rsidP="001351F2">
      <w:pPr>
        <w:rPr>
          <w:rFonts w:ascii="Arial" w:hAnsi="Arial"/>
        </w:rPr>
      </w:pPr>
      <w:r w:rsidRPr="00F00180">
        <w:rPr>
          <w:rFonts w:ascii="Arial" w:hAnsi="Arial"/>
        </w:rPr>
        <w:t xml:space="preserve">Use of NPA 010 is suitable for IoT/M2M devices that operate only on that </w:t>
      </w:r>
      <w:r w:rsidR="00F064C9" w:rsidRPr="00F00180">
        <w:rPr>
          <w:rFonts w:ascii="Arial" w:hAnsi="Arial"/>
        </w:rPr>
        <w:t>C</w:t>
      </w:r>
      <w:r w:rsidRPr="00F00180">
        <w:rPr>
          <w:rFonts w:ascii="Arial" w:hAnsi="Arial"/>
        </w:rPr>
        <w:t>arrier</w:t>
      </w:r>
      <w:r w:rsidR="003B2099" w:rsidRPr="00F00180">
        <w:rPr>
          <w:rFonts w:ascii="Arial" w:hAnsi="Arial"/>
        </w:rPr>
        <w:t>’</w:t>
      </w:r>
      <w:r w:rsidRPr="00F00180">
        <w:rPr>
          <w:rFonts w:ascii="Arial" w:hAnsi="Arial"/>
        </w:rPr>
        <w:t>s network</w:t>
      </w:r>
      <w:r w:rsidR="003B2099" w:rsidRPr="00F00180">
        <w:rPr>
          <w:rFonts w:ascii="Arial" w:hAnsi="Arial"/>
        </w:rPr>
        <w:t xml:space="preserve"> </w:t>
      </w:r>
      <w:r w:rsidR="00D63E65" w:rsidRPr="00F00180">
        <w:rPr>
          <w:rFonts w:ascii="Arial" w:hAnsi="Arial"/>
        </w:rPr>
        <w:t xml:space="preserve">unless there are </w:t>
      </w:r>
      <w:r w:rsidR="003B2099" w:rsidRPr="00F00180">
        <w:rPr>
          <w:rFonts w:ascii="Arial" w:hAnsi="Arial"/>
        </w:rPr>
        <w:t xml:space="preserve">bi-lateral agreements between </w:t>
      </w:r>
      <w:r w:rsidR="00F064C9" w:rsidRPr="00F00180">
        <w:rPr>
          <w:rFonts w:ascii="Arial" w:hAnsi="Arial"/>
        </w:rPr>
        <w:t>C</w:t>
      </w:r>
      <w:r w:rsidR="003B2099" w:rsidRPr="00F00180">
        <w:rPr>
          <w:rFonts w:ascii="Arial" w:hAnsi="Arial"/>
        </w:rPr>
        <w:t>arriers to share a single NPA 010 number plan.  Sharing a NPA 010 number plan would likely be difficult to implement</w:t>
      </w:r>
      <w:r w:rsidRPr="00F00180">
        <w:rPr>
          <w:rFonts w:ascii="Arial" w:hAnsi="Arial"/>
        </w:rPr>
        <w:t xml:space="preserve">.  As a result, many IOT/M2M applications may not be candidates for use of </w:t>
      </w:r>
      <w:r w:rsidR="003B2099" w:rsidRPr="00F00180">
        <w:rPr>
          <w:rFonts w:ascii="Arial" w:hAnsi="Arial"/>
        </w:rPr>
        <w:t xml:space="preserve">NPA 010 because they are required to function across </w:t>
      </w:r>
      <w:r w:rsidR="002151C2" w:rsidRPr="00F00180">
        <w:rPr>
          <w:rFonts w:ascii="Arial" w:hAnsi="Arial"/>
        </w:rPr>
        <w:t>C</w:t>
      </w:r>
      <w:r w:rsidR="003B2099" w:rsidRPr="00F00180">
        <w:rPr>
          <w:rFonts w:ascii="Arial" w:hAnsi="Arial"/>
        </w:rPr>
        <w:t>arrier network</w:t>
      </w:r>
      <w:r w:rsidR="00DF641D" w:rsidRPr="00F00180">
        <w:rPr>
          <w:rFonts w:ascii="Arial" w:hAnsi="Arial"/>
        </w:rPr>
        <w:t xml:space="preserve"> boundarie</w:t>
      </w:r>
      <w:r w:rsidR="003B2099" w:rsidRPr="00F00180">
        <w:rPr>
          <w:rFonts w:ascii="Arial" w:hAnsi="Arial"/>
        </w:rPr>
        <w:t xml:space="preserve">s (e.g., tracking devices, or devices that require SMS messaging). </w:t>
      </w:r>
    </w:p>
    <w:p w14:paraId="2ECBD2F5" w14:textId="7ABA3428" w:rsidR="003B2099" w:rsidRPr="00F00180" w:rsidRDefault="003B2099" w:rsidP="001351F2">
      <w:pPr>
        <w:rPr>
          <w:rFonts w:ascii="Arial" w:hAnsi="Arial"/>
        </w:rPr>
      </w:pPr>
      <w:r w:rsidRPr="00F00180">
        <w:rPr>
          <w:rFonts w:ascii="Arial" w:hAnsi="Arial"/>
        </w:rPr>
        <w:lastRenderedPageBreak/>
        <w:t xml:space="preserve">Due to varying implementation periods by </w:t>
      </w:r>
      <w:r w:rsidR="00622C37" w:rsidRPr="00F00180">
        <w:rPr>
          <w:rFonts w:ascii="Arial" w:hAnsi="Arial"/>
        </w:rPr>
        <w:t>C</w:t>
      </w:r>
      <w:r w:rsidRPr="00F00180">
        <w:rPr>
          <w:rFonts w:ascii="Arial" w:hAnsi="Arial"/>
        </w:rPr>
        <w:t>arriers, and the limitation of NPA 010 to intra-</w:t>
      </w:r>
      <w:r w:rsidR="00C54B61">
        <w:rPr>
          <w:rFonts w:ascii="Arial" w:hAnsi="Arial"/>
        </w:rPr>
        <w:t>C</w:t>
      </w:r>
      <w:r w:rsidRPr="00DA0D8B">
        <w:rPr>
          <w:rFonts w:ascii="Arial" w:hAnsi="Arial"/>
        </w:rPr>
        <w:t>arrier</w:t>
      </w:r>
      <w:r w:rsidRPr="00F00180">
        <w:rPr>
          <w:rFonts w:ascii="Arial" w:hAnsi="Arial"/>
        </w:rPr>
        <w:t xml:space="preserve"> applications, it is not possible to estimate the possible 6YY </w:t>
      </w:r>
      <w:r w:rsidR="006F06B9" w:rsidRPr="00F00180">
        <w:rPr>
          <w:rFonts w:ascii="Arial" w:hAnsi="Arial"/>
        </w:rPr>
        <w:t xml:space="preserve">NXX </w:t>
      </w:r>
      <w:r w:rsidRPr="00F00180">
        <w:rPr>
          <w:rFonts w:ascii="Arial" w:hAnsi="Arial"/>
        </w:rPr>
        <w:t xml:space="preserve">savings.  However, the use of NPA 010 by all </w:t>
      </w:r>
      <w:r w:rsidR="00622C37" w:rsidRPr="00F00180">
        <w:rPr>
          <w:rFonts w:ascii="Arial" w:hAnsi="Arial"/>
        </w:rPr>
        <w:t>C</w:t>
      </w:r>
      <w:r w:rsidRPr="00F00180">
        <w:rPr>
          <w:rFonts w:ascii="Arial" w:hAnsi="Arial"/>
        </w:rPr>
        <w:t>arriers wherever possible is recommended.</w:t>
      </w:r>
      <w:r w:rsidR="00D3694E" w:rsidRPr="00F00180">
        <w:rPr>
          <w:rFonts w:ascii="Arial" w:hAnsi="Arial"/>
        </w:rPr>
        <w:t xml:space="preserve">  Such implementations can involve 1+10 </w:t>
      </w:r>
      <w:r w:rsidR="00622C37" w:rsidRPr="00F00180">
        <w:rPr>
          <w:rFonts w:ascii="Arial" w:hAnsi="Arial"/>
        </w:rPr>
        <w:t>d</w:t>
      </w:r>
      <w:r w:rsidR="00D3694E" w:rsidRPr="00F00180">
        <w:rPr>
          <w:rFonts w:ascii="Arial" w:hAnsi="Arial"/>
        </w:rPr>
        <w:t>igits</w:t>
      </w:r>
      <w:r w:rsidR="00D3694E">
        <w:rPr>
          <w:rFonts w:ascii="Arial" w:hAnsi="Arial" w:cs="Arial"/>
          <w:lang w:val="en-US"/>
        </w:rPr>
        <w:t xml:space="preserve"> </w:t>
      </w:r>
      <w:r w:rsidR="001405AB">
        <w:rPr>
          <w:rFonts w:ascii="Arial" w:hAnsi="Arial" w:cs="Arial"/>
          <w:lang w:val="en-US"/>
        </w:rPr>
        <w:t>to</w:t>
      </w:r>
      <w:r w:rsidR="001405AB" w:rsidRPr="00E63AAF">
        <w:rPr>
          <w:rFonts w:ascii="Arial" w:hAnsi="Arial"/>
          <w:lang w:val="en-US"/>
        </w:rPr>
        <w:t xml:space="preserve"> </w:t>
      </w:r>
      <w:r w:rsidR="00D3694E" w:rsidRPr="00F00180">
        <w:rPr>
          <w:rFonts w:ascii="Arial" w:hAnsi="Arial"/>
        </w:rPr>
        <w:t xml:space="preserve">up to 1+14 digits depending on individual </w:t>
      </w:r>
      <w:r w:rsidR="00D63F35" w:rsidRPr="00F00180">
        <w:rPr>
          <w:rFonts w:ascii="Arial" w:hAnsi="Arial"/>
        </w:rPr>
        <w:t>C</w:t>
      </w:r>
      <w:r w:rsidR="00D3694E" w:rsidRPr="00F00180">
        <w:rPr>
          <w:rFonts w:ascii="Arial" w:hAnsi="Arial"/>
        </w:rPr>
        <w:t>arrier preference.</w:t>
      </w:r>
    </w:p>
    <w:p w14:paraId="5C68DC0A" w14:textId="7C861175" w:rsidR="00D3694E" w:rsidRPr="00F00180" w:rsidRDefault="00D3694E" w:rsidP="001351F2">
      <w:pPr>
        <w:rPr>
          <w:rFonts w:ascii="Arial" w:hAnsi="Arial"/>
        </w:rPr>
      </w:pPr>
      <w:r w:rsidRPr="00F00180">
        <w:rPr>
          <w:rFonts w:ascii="Arial" w:hAnsi="Arial"/>
        </w:rPr>
        <w:t xml:space="preserve">Option 3 is for </w:t>
      </w:r>
      <w:r w:rsidR="00622C37" w:rsidRPr="00F00180">
        <w:rPr>
          <w:rFonts w:ascii="Arial" w:hAnsi="Arial"/>
        </w:rPr>
        <w:t>C</w:t>
      </w:r>
      <w:r w:rsidRPr="00F00180">
        <w:rPr>
          <w:rFonts w:ascii="Arial" w:hAnsi="Arial"/>
        </w:rPr>
        <w:t>arriers to use another addressing scheme instead of TNs.  This option is available today and includes mechanisms such as the use of IMSIs or IP addresses.   The use of alternate numbering schemes can operate across networks if there is a carrier identification component</w:t>
      </w:r>
      <w:r w:rsidR="00900A7E" w:rsidRPr="00F00180">
        <w:rPr>
          <w:rFonts w:ascii="Arial" w:hAnsi="Arial"/>
        </w:rPr>
        <w:t xml:space="preserve"> to address scheme</w:t>
      </w:r>
      <w:r w:rsidRPr="00F00180">
        <w:rPr>
          <w:rFonts w:ascii="Arial" w:hAnsi="Arial"/>
        </w:rPr>
        <w:t xml:space="preserve"> (e.g., the unique </w:t>
      </w:r>
      <w:r w:rsidR="00A10CF0" w:rsidRPr="00F00180">
        <w:rPr>
          <w:rFonts w:ascii="Arial" w:hAnsi="Arial"/>
        </w:rPr>
        <w:t>M</w:t>
      </w:r>
      <w:r w:rsidRPr="00F00180">
        <w:rPr>
          <w:rFonts w:ascii="Arial" w:hAnsi="Arial"/>
        </w:rPr>
        <w:t xml:space="preserve">obile </w:t>
      </w:r>
      <w:r w:rsidR="00A23F19" w:rsidRPr="00F00180">
        <w:rPr>
          <w:rFonts w:ascii="Arial" w:hAnsi="Arial"/>
        </w:rPr>
        <w:t>Network</w:t>
      </w:r>
      <w:r w:rsidRPr="00F00180">
        <w:rPr>
          <w:rFonts w:ascii="Arial" w:hAnsi="Arial"/>
        </w:rPr>
        <w:t xml:space="preserve"> </w:t>
      </w:r>
      <w:r w:rsidR="00A10CF0" w:rsidRPr="00F00180">
        <w:rPr>
          <w:rFonts w:ascii="Arial" w:hAnsi="Arial"/>
        </w:rPr>
        <w:t>C</w:t>
      </w:r>
      <w:r w:rsidRPr="00F00180">
        <w:rPr>
          <w:rFonts w:ascii="Arial" w:hAnsi="Arial"/>
        </w:rPr>
        <w:t>ode forming part of an IMSI or</w:t>
      </w:r>
      <w:r w:rsidR="00900A7E" w:rsidRPr="00F00180">
        <w:rPr>
          <w:rFonts w:ascii="Arial" w:hAnsi="Arial"/>
        </w:rPr>
        <w:t xml:space="preserve"> the mechanisms for IP address administration</w:t>
      </w:r>
      <w:r w:rsidRPr="00F00180">
        <w:rPr>
          <w:rFonts w:ascii="Arial" w:hAnsi="Arial"/>
        </w:rPr>
        <w:t xml:space="preserve">).   It is not known to what extent </w:t>
      </w:r>
      <w:r w:rsidR="00900A7E" w:rsidRPr="00F00180">
        <w:rPr>
          <w:rFonts w:ascii="Arial" w:hAnsi="Arial"/>
        </w:rPr>
        <w:t>the use</w:t>
      </w:r>
      <w:r w:rsidRPr="00F00180">
        <w:rPr>
          <w:rFonts w:ascii="Arial" w:hAnsi="Arial"/>
        </w:rPr>
        <w:t xml:space="preserve"> of alternative addressing schemes is </w:t>
      </w:r>
      <w:r w:rsidR="003C33BD" w:rsidRPr="00F00180">
        <w:rPr>
          <w:rFonts w:ascii="Arial" w:hAnsi="Arial"/>
        </w:rPr>
        <w:t xml:space="preserve">currently </w:t>
      </w:r>
      <w:r w:rsidRPr="00F00180">
        <w:rPr>
          <w:rFonts w:ascii="Arial" w:hAnsi="Arial"/>
        </w:rPr>
        <w:t xml:space="preserve">relieving pressure on 6YY </w:t>
      </w:r>
      <w:r w:rsidR="006F06B9" w:rsidRPr="00F00180">
        <w:rPr>
          <w:rFonts w:ascii="Arial" w:hAnsi="Arial"/>
        </w:rPr>
        <w:t>NXXs</w:t>
      </w:r>
      <w:r w:rsidRPr="00F00180">
        <w:rPr>
          <w:rFonts w:ascii="Arial" w:hAnsi="Arial"/>
        </w:rPr>
        <w:t xml:space="preserve">, and how it will impact future demand for 6YY </w:t>
      </w:r>
      <w:r w:rsidR="006F06B9" w:rsidRPr="00F00180">
        <w:rPr>
          <w:rFonts w:ascii="Arial" w:hAnsi="Arial"/>
        </w:rPr>
        <w:t>NXXs</w:t>
      </w:r>
      <w:r w:rsidRPr="00F00180">
        <w:rPr>
          <w:rFonts w:ascii="Arial" w:hAnsi="Arial"/>
        </w:rPr>
        <w:t xml:space="preserve">. </w:t>
      </w:r>
      <w:r w:rsidR="00900A7E" w:rsidRPr="00F00180">
        <w:rPr>
          <w:rFonts w:ascii="Arial" w:hAnsi="Arial"/>
        </w:rPr>
        <w:t xml:space="preserve"> Use of alternative addressing schemes should be encouraged where suitable for the IoT/M2M application</w:t>
      </w:r>
      <w:r w:rsidR="005C0807">
        <w:rPr>
          <w:rFonts w:ascii="Arial" w:hAnsi="Arial"/>
        </w:rPr>
        <w:t xml:space="preserve"> and some Carriers have already begun doing so</w:t>
      </w:r>
      <w:r w:rsidR="00900A7E" w:rsidRPr="00F00180">
        <w:rPr>
          <w:rFonts w:ascii="Arial" w:hAnsi="Arial"/>
        </w:rPr>
        <w:t>.</w:t>
      </w:r>
    </w:p>
    <w:p w14:paraId="3DCE6012" w14:textId="1BBA0140" w:rsidR="00AE4DE5" w:rsidRPr="00F00180" w:rsidRDefault="005A1CA4" w:rsidP="001351F2">
      <w:pPr>
        <w:rPr>
          <w:rFonts w:ascii="Arial" w:hAnsi="Arial"/>
        </w:rPr>
      </w:pPr>
      <w:r w:rsidRPr="00F00180">
        <w:rPr>
          <w:rFonts w:ascii="Arial" w:hAnsi="Arial"/>
        </w:rPr>
        <w:t>Option 6 is to use new IoT/M2M network addressing standards for IoT</w:t>
      </w:r>
      <w:r w:rsidR="00B607F2" w:rsidRPr="00F00180">
        <w:rPr>
          <w:rFonts w:ascii="Arial" w:hAnsi="Arial"/>
        </w:rPr>
        <w:t>/M2M</w:t>
      </w:r>
      <w:r w:rsidRPr="00F00180">
        <w:rPr>
          <w:rFonts w:ascii="Arial" w:hAnsi="Arial"/>
        </w:rPr>
        <w:t xml:space="preserve"> when they become available. New standards for addressing IoT/M2M addressing have yet to be finalized by SDOs, and once finalized would take several years for commercial deployment.  As a result, waiting for the availability of new IoT/M2M addressing standards and commercial implementation will not happen before the requirement for 6YY </w:t>
      </w:r>
      <w:r w:rsidR="006F06B9" w:rsidRPr="00F00180">
        <w:rPr>
          <w:rFonts w:ascii="Arial" w:hAnsi="Arial"/>
        </w:rPr>
        <w:t xml:space="preserve">NPA </w:t>
      </w:r>
      <w:r w:rsidRPr="00F00180">
        <w:rPr>
          <w:rFonts w:ascii="Arial" w:hAnsi="Arial"/>
        </w:rPr>
        <w:t xml:space="preserve">relief.  As a result, waiting for new standards to be implemented is not a viable option.  </w:t>
      </w:r>
    </w:p>
    <w:p w14:paraId="314876B8" w14:textId="2BFE2634" w:rsidR="00F66ABC" w:rsidRPr="00F00180" w:rsidRDefault="00280EAD" w:rsidP="001351F2">
      <w:pPr>
        <w:rPr>
          <w:rFonts w:ascii="Arial" w:hAnsi="Arial"/>
        </w:rPr>
      </w:pPr>
      <w:r w:rsidRPr="00F00180">
        <w:rPr>
          <w:rFonts w:ascii="Arial" w:hAnsi="Arial"/>
        </w:rPr>
        <w:t>Options 2 and 3 should be encouraged, so that Carriers are aware of these alternatives which not only save public numbering resources but give Carriers more freedom to implement IoT services without dependence on the availability of industry codes</w:t>
      </w:r>
      <w:r w:rsidR="004E2E1C" w:rsidRPr="00F00180">
        <w:rPr>
          <w:rFonts w:ascii="Arial" w:hAnsi="Arial"/>
        </w:rPr>
        <w:t xml:space="preserve">. </w:t>
      </w:r>
      <w:r w:rsidR="00D5398F" w:rsidRPr="00F00180">
        <w:t xml:space="preserve"> </w:t>
      </w:r>
      <w:r w:rsidR="00D5398F" w:rsidRPr="00D5398F">
        <w:rPr>
          <w:rFonts w:ascii="Arial" w:hAnsi="Arial"/>
        </w:rPr>
        <w:t>The current forecast</w:t>
      </w:r>
      <w:r w:rsidR="00D5398F" w:rsidRPr="00F00180">
        <w:rPr>
          <w:rFonts w:ascii="Arial" w:hAnsi="Arial"/>
        </w:rPr>
        <w:t xml:space="preserve"> already </w:t>
      </w:r>
      <w:proofErr w:type="gramStart"/>
      <w:r w:rsidR="00D5398F" w:rsidRPr="00F00180">
        <w:rPr>
          <w:rFonts w:ascii="Arial" w:hAnsi="Arial"/>
        </w:rPr>
        <w:t>takes into account</w:t>
      </w:r>
      <w:proofErr w:type="gramEnd"/>
      <w:r w:rsidR="00D5398F" w:rsidRPr="00D5398F">
        <w:rPr>
          <w:rFonts w:ascii="Arial" w:hAnsi="Arial"/>
        </w:rPr>
        <w:t xml:space="preserve"> the use of NPA 010 and alternative numbering schemes</w:t>
      </w:r>
      <w:r w:rsidR="00D5398F" w:rsidRPr="00F00180">
        <w:rPr>
          <w:rFonts w:ascii="Arial" w:hAnsi="Arial"/>
        </w:rPr>
        <w:t>.</w:t>
      </w:r>
      <w:r w:rsidR="00E63AAF" w:rsidRPr="00F00180">
        <w:rPr>
          <w:rFonts w:ascii="Arial" w:hAnsi="Arial"/>
        </w:rPr>
        <w:t xml:space="preserve">  </w:t>
      </w:r>
      <w:r w:rsidRPr="00F00180">
        <w:rPr>
          <w:rFonts w:ascii="Arial" w:hAnsi="Arial"/>
        </w:rPr>
        <w:t>Accordingly, the numerical analysis that follows assumes that Options 2 and 3 will offer no additional relief beyond what may already be reflected</w:t>
      </w:r>
      <w:r w:rsidR="00F66ABC" w:rsidRPr="00F00180">
        <w:rPr>
          <w:rFonts w:ascii="Arial" w:hAnsi="Arial"/>
        </w:rPr>
        <w:t xml:space="preserve"> in the demand (which would otherwise be higher).</w:t>
      </w:r>
      <w:r w:rsidR="003F6B5F">
        <w:rPr>
          <w:rFonts w:ascii="Arial" w:hAnsi="Arial"/>
        </w:rPr>
        <w:t xml:space="preserve"> </w:t>
      </w:r>
    </w:p>
    <w:p w14:paraId="08595D7B" w14:textId="252BAF13" w:rsidR="00F66ABC" w:rsidRPr="00043E5F" w:rsidRDefault="00F66ABC" w:rsidP="00F00180">
      <w:pPr>
        <w:rPr>
          <w:rFonts w:ascii="Arial" w:hAnsi="Arial" w:cs="Times New Roman"/>
        </w:rPr>
      </w:pPr>
      <w:r w:rsidRPr="00782E64">
        <w:rPr>
          <w:rFonts w:ascii="Arial" w:hAnsi="Arial"/>
        </w:rPr>
        <w:t xml:space="preserve">The CSCN </w:t>
      </w:r>
      <w:r w:rsidR="00045C71" w:rsidRPr="00782E64">
        <w:rPr>
          <w:rFonts w:ascii="Arial" w:hAnsi="Arial"/>
        </w:rPr>
        <w:t xml:space="preserve">proposes </w:t>
      </w:r>
      <w:r w:rsidRPr="00782E64">
        <w:rPr>
          <w:rFonts w:ascii="Arial" w:hAnsi="Arial"/>
        </w:rPr>
        <w:t>that</w:t>
      </w:r>
      <w:r w:rsidR="00043E5F">
        <w:rPr>
          <w:rFonts w:ascii="Arial" w:hAnsi="Arial"/>
        </w:rPr>
        <w:t xml:space="preserve"> </w:t>
      </w:r>
      <w:r w:rsidRPr="00782E64">
        <w:rPr>
          <w:rFonts w:ascii="Arial" w:hAnsi="Arial"/>
        </w:rPr>
        <w:t>Options 2 and 3 be encouraged when inter-network communication is not an anticipated requirement</w:t>
      </w:r>
      <w:r w:rsidR="00635ABB" w:rsidRPr="00D6746D">
        <w:rPr>
          <w:rFonts w:ascii="Arial" w:hAnsi="Arial"/>
        </w:rPr>
        <w:t>.</w:t>
      </w:r>
    </w:p>
    <w:p w14:paraId="6763E9CF" w14:textId="77777777" w:rsidR="007C7C10" w:rsidRDefault="007C7C10" w:rsidP="001351F2">
      <w:pPr>
        <w:rPr>
          <w:rFonts w:ascii="Arial" w:hAnsi="Arial" w:cs="Arial"/>
        </w:rPr>
      </w:pPr>
    </w:p>
    <w:p w14:paraId="7F0D97E4" w14:textId="77777777" w:rsidR="007C7C10" w:rsidRDefault="007C7C10" w:rsidP="001351F2">
      <w:pPr>
        <w:pStyle w:val="Heading1"/>
        <w:numPr>
          <w:ilvl w:val="1"/>
          <w:numId w:val="44"/>
        </w:numPr>
        <w:rPr>
          <w:rFonts w:ascii="Arial" w:hAnsi="Arial"/>
          <w:sz w:val="24"/>
          <w:szCs w:val="24"/>
        </w:rPr>
      </w:pPr>
      <w:bookmarkStart w:id="71" w:name="_Toc156387053"/>
      <w:bookmarkStart w:id="72" w:name="_Toc162946408"/>
      <w:r>
        <w:rPr>
          <w:rFonts w:ascii="Arial" w:hAnsi="Arial"/>
          <w:sz w:val="24"/>
          <w:szCs w:val="24"/>
        </w:rPr>
        <w:t>Calendar of Solutions</w:t>
      </w:r>
      <w:bookmarkEnd w:id="71"/>
      <w:bookmarkEnd w:id="72"/>
    </w:p>
    <w:p w14:paraId="47890308" w14:textId="77777777" w:rsidR="007C7C10" w:rsidRDefault="007C7C10" w:rsidP="001351F2"/>
    <w:p w14:paraId="6E4637D3" w14:textId="7DF6857B" w:rsidR="003B6676" w:rsidRDefault="00D51C6E">
      <w:pPr>
        <w:rPr>
          <w:rFonts w:ascii="Arial" w:hAnsi="Arial" w:cs="Arial"/>
        </w:rPr>
      </w:pPr>
      <w:r>
        <w:rPr>
          <w:rFonts w:ascii="Arial" w:hAnsi="Arial" w:cs="Arial"/>
        </w:rPr>
        <w:t>In Figure 5, t</w:t>
      </w:r>
      <w:r w:rsidR="00CF0086">
        <w:rPr>
          <w:rFonts w:ascii="Arial" w:hAnsi="Arial" w:cs="Arial"/>
        </w:rPr>
        <w:t xml:space="preserve">he </w:t>
      </w:r>
      <w:r w:rsidR="005A4557">
        <w:rPr>
          <w:rFonts w:ascii="Arial" w:hAnsi="Arial" w:cs="Arial"/>
        </w:rPr>
        <w:t xml:space="preserve">forecasted </w:t>
      </w:r>
      <w:r>
        <w:rPr>
          <w:rFonts w:ascii="Arial" w:hAnsi="Arial" w:cs="Arial"/>
        </w:rPr>
        <w:t xml:space="preserve">demand for non-geographic NPAs and </w:t>
      </w:r>
      <w:r w:rsidR="0091335A">
        <w:rPr>
          <w:rFonts w:ascii="Arial" w:hAnsi="Arial" w:cs="Arial"/>
        </w:rPr>
        <w:t xml:space="preserve">estimated </w:t>
      </w:r>
      <w:r w:rsidR="00CF0086">
        <w:rPr>
          <w:rFonts w:ascii="Arial" w:hAnsi="Arial" w:cs="Arial"/>
        </w:rPr>
        <w:t>activation</w:t>
      </w:r>
      <w:r>
        <w:rPr>
          <w:rFonts w:ascii="Arial" w:hAnsi="Arial" w:cs="Arial"/>
        </w:rPr>
        <w:t xml:space="preserve">s </w:t>
      </w:r>
      <w:r w:rsidR="00702219">
        <w:rPr>
          <w:rFonts w:ascii="Arial" w:hAnsi="Arial" w:cs="Arial"/>
        </w:rPr>
        <w:t xml:space="preserve">dates </w:t>
      </w:r>
      <w:r w:rsidR="00CF0086">
        <w:rPr>
          <w:rFonts w:ascii="Arial" w:hAnsi="Arial" w:cs="Arial"/>
        </w:rPr>
        <w:t xml:space="preserve">of </w:t>
      </w:r>
      <w:r>
        <w:rPr>
          <w:rFonts w:ascii="Arial" w:hAnsi="Arial" w:cs="Arial"/>
        </w:rPr>
        <w:t xml:space="preserve">the remaining </w:t>
      </w:r>
      <w:r w:rsidR="00CF0086">
        <w:rPr>
          <w:rFonts w:ascii="Arial" w:hAnsi="Arial" w:cs="Arial"/>
        </w:rPr>
        <w:t>6YY NPAs</w:t>
      </w:r>
      <w:r>
        <w:rPr>
          <w:rFonts w:ascii="Arial" w:hAnsi="Arial" w:cs="Arial"/>
        </w:rPr>
        <w:t xml:space="preserve"> are mapped </w:t>
      </w:r>
      <w:r w:rsidR="005A4557">
        <w:rPr>
          <w:rFonts w:ascii="Arial" w:hAnsi="Arial" w:cs="Arial"/>
        </w:rPr>
        <w:t>onto calendar years up to 2030.  The</w:t>
      </w:r>
      <w:r>
        <w:rPr>
          <w:rFonts w:ascii="Arial" w:hAnsi="Arial" w:cs="Arial"/>
        </w:rPr>
        <w:t xml:space="preserve"> effe</w:t>
      </w:r>
      <w:r w:rsidR="005A4557">
        <w:rPr>
          <w:rFonts w:ascii="Arial" w:hAnsi="Arial" w:cs="Arial"/>
        </w:rPr>
        <w:t xml:space="preserve">ct of the recommended solutions on the supply of NPAs (or equivalent NPAs) is shown. </w:t>
      </w:r>
      <w:r w:rsidR="00E63AAF">
        <w:rPr>
          <w:rFonts w:ascii="Arial" w:hAnsi="Arial" w:cs="Arial"/>
        </w:rPr>
        <w:t xml:space="preserve"> Figure 5 </w:t>
      </w:r>
      <w:r w:rsidR="00820406">
        <w:rPr>
          <w:rFonts w:ascii="Arial" w:hAnsi="Arial" w:cs="Arial"/>
        </w:rPr>
        <w:t xml:space="preserve">includes the expected relief from </w:t>
      </w:r>
      <w:r w:rsidR="005A4557">
        <w:rPr>
          <w:rFonts w:ascii="Arial" w:hAnsi="Arial" w:cs="Arial"/>
        </w:rPr>
        <w:t xml:space="preserve">Phase 1 of </w:t>
      </w:r>
      <w:r w:rsidR="00820406">
        <w:rPr>
          <w:rFonts w:ascii="Arial" w:hAnsi="Arial" w:cs="Arial"/>
        </w:rPr>
        <w:t xml:space="preserve">Option 7A, for the CRTC’s information.  </w:t>
      </w:r>
      <w:r w:rsidR="005A4557">
        <w:rPr>
          <w:rFonts w:ascii="Arial" w:hAnsi="Arial" w:cs="Arial"/>
        </w:rPr>
        <w:t xml:space="preserve">If either Phase 2 of Option 7A or </w:t>
      </w:r>
      <w:r w:rsidR="00820406">
        <w:rPr>
          <w:rFonts w:ascii="Arial" w:hAnsi="Arial" w:cs="Arial"/>
        </w:rPr>
        <w:t>Option 7B</w:t>
      </w:r>
      <w:r w:rsidR="005A4557">
        <w:rPr>
          <w:rFonts w:ascii="Arial" w:hAnsi="Arial" w:cs="Arial"/>
        </w:rPr>
        <w:t xml:space="preserve"> is</w:t>
      </w:r>
      <w:r>
        <w:rPr>
          <w:rFonts w:ascii="Arial" w:hAnsi="Arial" w:cs="Arial"/>
        </w:rPr>
        <w:t xml:space="preserve"> selected,</w:t>
      </w:r>
      <w:r w:rsidR="005A4557">
        <w:rPr>
          <w:rFonts w:ascii="Arial" w:hAnsi="Arial" w:cs="Arial"/>
        </w:rPr>
        <w:t xml:space="preserve"> </w:t>
      </w:r>
      <w:r>
        <w:rPr>
          <w:rFonts w:ascii="Arial" w:hAnsi="Arial" w:cs="Arial"/>
        </w:rPr>
        <w:t xml:space="preserve">additional </w:t>
      </w:r>
      <w:r w:rsidR="005A4557">
        <w:rPr>
          <w:rFonts w:ascii="Arial" w:hAnsi="Arial" w:cs="Arial"/>
        </w:rPr>
        <w:t>supply would be made available.</w:t>
      </w:r>
      <w:r w:rsidR="00820406">
        <w:rPr>
          <w:rFonts w:ascii="Arial" w:hAnsi="Arial" w:cs="Arial"/>
        </w:rPr>
        <w:t xml:space="preserve"> </w:t>
      </w:r>
    </w:p>
    <w:p w14:paraId="03660B2D" w14:textId="4B39AE9B" w:rsidR="005A4557" w:rsidRDefault="005A4557">
      <w:pPr>
        <w:rPr>
          <w:rFonts w:ascii="Arial" w:hAnsi="Arial" w:cs="Arial"/>
        </w:rPr>
      </w:pPr>
      <w:r>
        <w:rPr>
          <w:rFonts w:ascii="Arial" w:hAnsi="Arial" w:cs="Arial"/>
        </w:rPr>
        <w:t>Figure 6 shows the supply of NPAs (or equivalent NPAs) assuming the implementation of the recommended solutions versus forecasted demand up to 2044.  Figure 6 also assumes Phase 1 of Option 7A will be implemented.</w:t>
      </w:r>
    </w:p>
    <w:p w14:paraId="659E826D" w14:textId="77777777" w:rsidR="00635ABB" w:rsidRDefault="00635ABB">
      <w:pPr>
        <w:rPr>
          <w:rFonts w:ascii="Arial" w:hAnsi="Arial"/>
          <w:sz w:val="24"/>
        </w:rPr>
        <w:sectPr w:rsidR="00635ABB" w:rsidSect="00E66668">
          <w:headerReference w:type="first" r:id="rId20"/>
          <w:pgSz w:w="12240" w:h="15840"/>
          <w:pgMar w:top="1440" w:right="1440" w:bottom="1440" w:left="1440" w:header="708" w:footer="708" w:gutter="0"/>
          <w:pgNumType w:start="1"/>
          <w:cols w:space="708"/>
          <w:titlePg/>
          <w:docGrid w:linePitch="360"/>
        </w:sectPr>
      </w:pPr>
    </w:p>
    <w:p w14:paraId="486DE134" w14:textId="77777777" w:rsidR="008D1459" w:rsidRPr="008A271B" w:rsidRDefault="008D1459" w:rsidP="001351F2">
      <w:pPr>
        <w:rPr>
          <w:rFonts w:ascii="Arial" w:hAnsi="Arial"/>
          <w:sz w:val="24"/>
        </w:rPr>
      </w:pPr>
    </w:p>
    <w:p w14:paraId="0B827BB1" w14:textId="1F55FC08" w:rsidR="00BE490E" w:rsidRPr="00F00180" w:rsidRDefault="00BE490E" w:rsidP="001351F2">
      <w:pPr>
        <w:pStyle w:val="Caption"/>
        <w:keepNext/>
        <w:rPr>
          <w:sz w:val="24"/>
        </w:rPr>
      </w:pPr>
      <w:bookmarkStart w:id="73" w:name="_Toc156385634"/>
      <w:bookmarkStart w:id="74" w:name="_Toc162946420"/>
      <w:r w:rsidRPr="00F00180">
        <w:rPr>
          <w:b/>
          <w:sz w:val="24"/>
        </w:rPr>
        <w:t xml:space="preserve">Figure </w:t>
      </w:r>
      <w:r w:rsidR="00262139" w:rsidRPr="00F00180">
        <w:rPr>
          <w:b/>
          <w:sz w:val="24"/>
        </w:rPr>
        <w:fldChar w:fldCharType="begin"/>
      </w:r>
      <w:r w:rsidR="00262139" w:rsidRPr="00F00180">
        <w:rPr>
          <w:b/>
          <w:sz w:val="24"/>
        </w:rPr>
        <w:instrText xml:space="preserve"> SEQ Figure \* ARABIC </w:instrText>
      </w:r>
      <w:r w:rsidR="00262139" w:rsidRPr="00F00180">
        <w:rPr>
          <w:b/>
          <w:sz w:val="24"/>
        </w:rPr>
        <w:fldChar w:fldCharType="separate"/>
      </w:r>
      <w:r w:rsidR="00924761" w:rsidRPr="00F00180">
        <w:rPr>
          <w:b/>
          <w:sz w:val="24"/>
        </w:rPr>
        <w:t>5</w:t>
      </w:r>
      <w:r w:rsidR="00262139" w:rsidRPr="00F00180">
        <w:rPr>
          <w:b/>
          <w:sz w:val="24"/>
        </w:rPr>
        <w:fldChar w:fldCharType="end"/>
      </w:r>
      <w:r w:rsidRPr="00F00180">
        <w:rPr>
          <w:sz w:val="24"/>
        </w:rPr>
        <w:t xml:space="preserve">: </w:t>
      </w:r>
      <w:r w:rsidRPr="008A271B">
        <w:rPr>
          <w:sz w:val="24"/>
        </w:rPr>
        <w:t>Calendar</w:t>
      </w:r>
      <w:r w:rsidRPr="00F00180">
        <w:rPr>
          <w:sz w:val="24"/>
        </w:rPr>
        <w:t xml:space="preserve"> of Solutions</w:t>
      </w:r>
      <w:bookmarkEnd w:id="73"/>
      <w:bookmarkEnd w:id="74"/>
    </w:p>
    <w:tbl>
      <w:tblPr>
        <w:tblW w:w="11055" w:type="dxa"/>
        <w:jc w:val="center"/>
        <w:tblLook w:val="04A0" w:firstRow="1" w:lastRow="0" w:firstColumn="1" w:lastColumn="0" w:noHBand="0" w:noVBand="1"/>
      </w:tblPr>
      <w:tblGrid>
        <w:gridCol w:w="1620"/>
        <w:gridCol w:w="864"/>
        <w:gridCol w:w="1008"/>
        <w:gridCol w:w="970"/>
        <w:gridCol w:w="970"/>
        <w:gridCol w:w="1093"/>
        <w:gridCol w:w="847"/>
        <w:gridCol w:w="919"/>
        <w:gridCol w:w="1435"/>
        <w:gridCol w:w="1329"/>
      </w:tblGrid>
      <w:tr w:rsidR="00C846AE" w:rsidRPr="008D1459" w14:paraId="3DEE4B72" w14:textId="77777777" w:rsidTr="00C846AE">
        <w:trPr>
          <w:trHeight w:val="315"/>
          <w:jc w:val="center"/>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CFDC6A"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Years</w:t>
            </w:r>
          </w:p>
        </w:tc>
        <w:tc>
          <w:tcPr>
            <w:tcW w:w="864" w:type="dxa"/>
            <w:tcBorders>
              <w:top w:val="single" w:sz="8" w:space="0" w:color="auto"/>
              <w:left w:val="nil"/>
              <w:bottom w:val="single" w:sz="8" w:space="0" w:color="auto"/>
              <w:right w:val="single" w:sz="8" w:space="0" w:color="auto"/>
            </w:tcBorders>
            <w:shd w:val="clear" w:color="auto" w:fill="auto"/>
            <w:noWrap/>
            <w:vAlign w:val="center"/>
            <w:hideMark/>
          </w:tcPr>
          <w:p w14:paraId="6C47A14D"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2023</w:t>
            </w:r>
          </w:p>
        </w:tc>
        <w:tc>
          <w:tcPr>
            <w:tcW w:w="1008" w:type="dxa"/>
            <w:tcBorders>
              <w:top w:val="single" w:sz="8" w:space="0" w:color="auto"/>
              <w:left w:val="nil"/>
              <w:bottom w:val="single" w:sz="8" w:space="0" w:color="auto"/>
              <w:right w:val="single" w:sz="8" w:space="0" w:color="auto"/>
            </w:tcBorders>
            <w:shd w:val="clear" w:color="auto" w:fill="auto"/>
            <w:noWrap/>
            <w:vAlign w:val="center"/>
            <w:hideMark/>
          </w:tcPr>
          <w:p w14:paraId="1303FC2A"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2024</w:t>
            </w:r>
          </w:p>
        </w:tc>
        <w:tc>
          <w:tcPr>
            <w:tcW w:w="970" w:type="dxa"/>
            <w:tcBorders>
              <w:top w:val="single" w:sz="8" w:space="0" w:color="auto"/>
              <w:left w:val="nil"/>
              <w:bottom w:val="single" w:sz="8" w:space="0" w:color="auto"/>
              <w:right w:val="single" w:sz="8" w:space="0" w:color="auto"/>
            </w:tcBorders>
            <w:shd w:val="clear" w:color="auto" w:fill="auto"/>
            <w:noWrap/>
            <w:vAlign w:val="center"/>
            <w:hideMark/>
          </w:tcPr>
          <w:p w14:paraId="1AED8E08"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2025</w:t>
            </w:r>
          </w:p>
        </w:tc>
        <w:tc>
          <w:tcPr>
            <w:tcW w:w="970" w:type="dxa"/>
            <w:tcBorders>
              <w:top w:val="single" w:sz="8" w:space="0" w:color="auto"/>
              <w:left w:val="nil"/>
              <w:bottom w:val="single" w:sz="8" w:space="0" w:color="auto"/>
              <w:right w:val="single" w:sz="8" w:space="0" w:color="auto"/>
            </w:tcBorders>
            <w:shd w:val="clear" w:color="auto" w:fill="auto"/>
            <w:noWrap/>
            <w:vAlign w:val="center"/>
            <w:hideMark/>
          </w:tcPr>
          <w:p w14:paraId="266E9A48"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2026</w:t>
            </w:r>
          </w:p>
        </w:tc>
        <w:tc>
          <w:tcPr>
            <w:tcW w:w="1093" w:type="dxa"/>
            <w:tcBorders>
              <w:top w:val="single" w:sz="8" w:space="0" w:color="auto"/>
              <w:left w:val="nil"/>
              <w:bottom w:val="single" w:sz="8" w:space="0" w:color="auto"/>
              <w:right w:val="single" w:sz="8" w:space="0" w:color="auto"/>
            </w:tcBorders>
            <w:shd w:val="clear" w:color="auto" w:fill="auto"/>
            <w:noWrap/>
            <w:vAlign w:val="center"/>
            <w:hideMark/>
          </w:tcPr>
          <w:p w14:paraId="7C2179AB"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2027</w:t>
            </w:r>
          </w:p>
        </w:tc>
        <w:tc>
          <w:tcPr>
            <w:tcW w:w="847" w:type="dxa"/>
            <w:tcBorders>
              <w:top w:val="single" w:sz="8" w:space="0" w:color="auto"/>
              <w:left w:val="nil"/>
              <w:bottom w:val="single" w:sz="8" w:space="0" w:color="auto"/>
              <w:right w:val="single" w:sz="8" w:space="0" w:color="auto"/>
            </w:tcBorders>
            <w:shd w:val="clear" w:color="auto" w:fill="auto"/>
            <w:noWrap/>
            <w:vAlign w:val="center"/>
            <w:hideMark/>
          </w:tcPr>
          <w:p w14:paraId="2B459A32"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2028</w:t>
            </w:r>
          </w:p>
        </w:tc>
        <w:tc>
          <w:tcPr>
            <w:tcW w:w="813" w:type="dxa"/>
            <w:tcBorders>
              <w:top w:val="single" w:sz="8" w:space="0" w:color="auto"/>
              <w:left w:val="nil"/>
              <w:bottom w:val="single" w:sz="8" w:space="0" w:color="auto"/>
              <w:right w:val="single" w:sz="8" w:space="0" w:color="auto"/>
            </w:tcBorders>
            <w:shd w:val="clear" w:color="auto" w:fill="auto"/>
            <w:noWrap/>
            <w:vAlign w:val="center"/>
            <w:hideMark/>
          </w:tcPr>
          <w:p w14:paraId="28393A6B"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2029</w:t>
            </w:r>
          </w:p>
        </w:tc>
        <w:tc>
          <w:tcPr>
            <w:tcW w:w="1435" w:type="dxa"/>
            <w:tcBorders>
              <w:top w:val="single" w:sz="8" w:space="0" w:color="auto"/>
              <w:left w:val="nil"/>
              <w:bottom w:val="single" w:sz="8" w:space="0" w:color="auto"/>
              <w:right w:val="single" w:sz="8" w:space="0" w:color="auto"/>
            </w:tcBorders>
            <w:shd w:val="clear" w:color="auto" w:fill="auto"/>
            <w:noWrap/>
            <w:vAlign w:val="center"/>
            <w:hideMark/>
          </w:tcPr>
          <w:p w14:paraId="3682F4F0"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2030</w:t>
            </w:r>
          </w:p>
        </w:tc>
        <w:tc>
          <w:tcPr>
            <w:tcW w:w="1435" w:type="dxa"/>
            <w:tcBorders>
              <w:top w:val="single" w:sz="8" w:space="0" w:color="auto"/>
              <w:left w:val="nil"/>
              <w:bottom w:val="single" w:sz="8" w:space="0" w:color="auto"/>
              <w:right w:val="single" w:sz="8" w:space="0" w:color="auto"/>
            </w:tcBorders>
          </w:tcPr>
          <w:p w14:paraId="58FB5B66"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NOTES</w:t>
            </w:r>
          </w:p>
        </w:tc>
      </w:tr>
      <w:tr w:rsidR="00C846AE" w:rsidRPr="008D1459" w14:paraId="0D588402" w14:textId="77777777" w:rsidTr="00C846AE">
        <w:trPr>
          <w:trHeight w:val="300"/>
          <w:jc w:val="center"/>
        </w:trPr>
        <w:tc>
          <w:tcPr>
            <w:tcW w:w="1620" w:type="dxa"/>
            <w:tcBorders>
              <w:top w:val="nil"/>
              <w:left w:val="single" w:sz="8" w:space="0" w:color="auto"/>
              <w:bottom w:val="nil"/>
              <w:right w:val="single" w:sz="8" w:space="0" w:color="auto"/>
            </w:tcBorders>
            <w:shd w:val="clear" w:color="auto" w:fill="auto"/>
            <w:noWrap/>
            <w:vAlign w:val="center"/>
            <w:hideMark/>
          </w:tcPr>
          <w:p w14:paraId="79D123C3"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w:t>
            </w:r>
          </w:p>
        </w:tc>
        <w:tc>
          <w:tcPr>
            <w:tcW w:w="864" w:type="dxa"/>
            <w:tcBorders>
              <w:top w:val="nil"/>
              <w:left w:val="nil"/>
              <w:bottom w:val="nil"/>
              <w:right w:val="single" w:sz="8" w:space="0" w:color="auto"/>
            </w:tcBorders>
            <w:shd w:val="clear" w:color="auto" w:fill="auto"/>
            <w:noWrap/>
            <w:vAlign w:val="center"/>
            <w:hideMark/>
          </w:tcPr>
          <w:p w14:paraId="6755D764"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w:t>
            </w:r>
          </w:p>
        </w:tc>
        <w:tc>
          <w:tcPr>
            <w:tcW w:w="1008" w:type="dxa"/>
            <w:tcBorders>
              <w:top w:val="nil"/>
              <w:left w:val="nil"/>
              <w:bottom w:val="nil"/>
              <w:right w:val="single" w:sz="8" w:space="0" w:color="auto"/>
            </w:tcBorders>
            <w:shd w:val="clear" w:color="auto" w:fill="auto"/>
            <w:noWrap/>
            <w:vAlign w:val="center"/>
            <w:hideMark/>
          </w:tcPr>
          <w:p w14:paraId="6334F25D"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w:t>
            </w:r>
          </w:p>
        </w:tc>
        <w:tc>
          <w:tcPr>
            <w:tcW w:w="970" w:type="dxa"/>
            <w:tcBorders>
              <w:top w:val="nil"/>
              <w:left w:val="nil"/>
              <w:bottom w:val="nil"/>
              <w:right w:val="single" w:sz="8" w:space="0" w:color="auto"/>
            </w:tcBorders>
            <w:shd w:val="clear" w:color="auto" w:fill="auto"/>
            <w:noWrap/>
            <w:vAlign w:val="center"/>
            <w:hideMark/>
          </w:tcPr>
          <w:p w14:paraId="0142CE3A"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w:t>
            </w:r>
          </w:p>
        </w:tc>
        <w:tc>
          <w:tcPr>
            <w:tcW w:w="970" w:type="dxa"/>
            <w:tcBorders>
              <w:top w:val="nil"/>
              <w:left w:val="nil"/>
              <w:bottom w:val="nil"/>
              <w:right w:val="single" w:sz="8" w:space="0" w:color="auto"/>
            </w:tcBorders>
            <w:shd w:val="clear" w:color="auto" w:fill="auto"/>
            <w:noWrap/>
            <w:vAlign w:val="center"/>
            <w:hideMark/>
          </w:tcPr>
          <w:p w14:paraId="7AEE44E2"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w:t>
            </w:r>
          </w:p>
        </w:tc>
        <w:tc>
          <w:tcPr>
            <w:tcW w:w="1093" w:type="dxa"/>
            <w:tcBorders>
              <w:top w:val="nil"/>
              <w:left w:val="nil"/>
              <w:bottom w:val="nil"/>
              <w:right w:val="single" w:sz="8" w:space="0" w:color="auto"/>
            </w:tcBorders>
            <w:shd w:val="clear" w:color="auto" w:fill="auto"/>
            <w:noWrap/>
            <w:vAlign w:val="center"/>
            <w:hideMark/>
          </w:tcPr>
          <w:p w14:paraId="21D58CB0"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w:t>
            </w:r>
          </w:p>
        </w:tc>
        <w:tc>
          <w:tcPr>
            <w:tcW w:w="847" w:type="dxa"/>
            <w:tcBorders>
              <w:top w:val="nil"/>
              <w:left w:val="nil"/>
              <w:bottom w:val="nil"/>
              <w:right w:val="single" w:sz="8" w:space="0" w:color="auto"/>
            </w:tcBorders>
            <w:shd w:val="clear" w:color="auto" w:fill="auto"/>
            <w:noWrap/>
            <w:vAlign w:val="center"/>
            <w:hideMark/>
          </w:tcPr>
          <w:p w14:paraId="18830140"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w:t>
            </w:r>
          </w:p>
        </w:tc>
        <w:tc>
          <w:tcPr>
            <w:tcW w:w="813" w:type="dxa"/>
            <w:tcBorders>
              <w:top w:val="nil"/>
              <w:left w:val="nil"/>
              <w:bottom w:val="nil"/>
              <w:right w:val="single" w:sz="8" w:space="0" w:color="auto"/>
            </w:tcBorders>
            <w:shd w:val="clear" w:color="auto" w:fill="auto"/>
            <w:noWrap/>
            <w:vAlign w:val="center"/>
            <w:hideMark/>
          </w:tcPr>
          <w:p w14:paraId="74D3A866"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w:t>
            </w:r>
          </w:p>
        </w:tc>
        <w:tc>
          <w:tcPr>
            <w:tcW w:w="1435" w:type="dxa"/>
            <w:tcBorders>
              <w:top w:val="nil"/>
              <w:left w:val="nil"/>
              <w:bottom w:val="nil"/>
              <w:right w:val="single" w:sz="8" w:space="0" w:color="auto"/>
            </w:tcBorders>
            <w:shd w:val="clear" w:color="auto" w:fill="auto"/>
            <w:noWrap/>
            <w:vAlign w:val="center"/>
            <w:hideMark/>
          </w:tcPr>
          <w:p w14:paraId="76F03B13"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w:t>
            </w:r>
          </w:p>
        </w:tc>
        <w:tc>
          <w:tcPr>
            <w:tcW w:w="1435" w:type="dxa"/>
            <w:tcBorders>
              <w:top w:val="nil"/>
              <w:left w:val="nil"/>
              <w:bottom w:val="nil"/>
              <w:right w:val="single" w:sz="8" w:space="0" w:color="auto"/>
            </w:tcBorders>
          </w:tcPr>
          <w:p w14:paraId="79174900" w14:textId="77777777" w:rsidR="00C846AE" w:rsidRPr="00F00180" w:rsidRDefault="00C846AE" w:rsidP="001351F2">
            <w:pPr>
              <w:spacing w:after="0" w:line="240" w:lineRule="auto"/>
              <w:rPr>
                <w:rFonts w:ascii="Arial" w:hAnsi="Arial"/>
                <w:color w:val="000000"/>
                <w:sz w:val="16"/>
              </w:rPr>
            </w:pPr>
          </w:p>
        </w:tc>
      </w:tr>
      <w:tr w:rsidR="00C846AE" w:rsidRPr="008D1459" w14:paraId="10267652" w14:textId="77777777" w:rsidTr="00A7509C">
        <w:trPr>
          <w:trHeight w:val="1575"/>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CEFB6"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xml:space="preserve">“Demand” </w:t>
            </w:r>
            <w:r w:rsidRPr="00F00180">
              <w:rPr>
                <w:rFonts w:ascii="Arial" w:hAnsi="Arial"/>
                <w:color w:val="000000"/>
                <w:sz w:val="16"/>
              </w:rPr>
              <w:br/>
              <w:t>Total # of NPAs assigned by end of year from July 2023 NRUF</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2C14C853"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2</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3455DC43"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2</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5CEFD473"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3</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77B61F02"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4</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14:paraId="20D08AC3"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7B681834"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5</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63757A06"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6</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14:paraId="2CD73131"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7</w:t>
            </w:r>
          </w:p>
        </w:tc>
        <w:tc>
          <w:tcPr>
            <w:tcW w:w="1435" w:type="dxa"/>
            <w:tcBorders>
              <w:top w:val="single" w:sz="4" w:space="0" w:color="auto"/>
              <w:left w:val="nil"/>
              <w:bottom w:val="single" w:sz="4" w:space="0" w:color="auto"/>
              <w:right w:val="single" w:sz="4" w:space="0" w:color="auto"/>
            </w:tcBorders>
            <w:vAlign w:val="center"/>
          </w:tcPr>
          <w:p w14:paraId="5686E5B0" w14:textId="77777777" w:rsidR="00C846AE" w:rsidRPr="00F00180" w:rsidRDefault="00A7509C" w:rsidP="001351F2">
            <w:pPr>
              <w:spacing w:after="0" w:line="240" w:lineRule="auto"/>
              <w:rPr>
                <w:rFonts w:ascii="Arial" w:hAnsi="Arial"/>
                <w:color w:val="000000"/>
                <w:sz w:val="20"/>
              </w:rPr>
            </w:pPr>
            <w:r w:rsidRPr="00F00180">
              <w:rPr>
                <w:rFonts w:ascii="Arial" w:hAnsi="Arial"/>
                <w:color w:val="000000"/>
                <w:sz w:val="20"/>
              </w:rPr>
              <w:t>Note A</w:t>
            </w:r>
          </w:p>
        </w:tc>
      </w:tr>
      <w:tr w:rsidR="00C846AE" w:rsidRPr="008D1459" w14:paraId="2904C221" w14:textId="77777777" w:rsidTr="00A7509C">
        <w:trPr>
          <w:trHeight w:val="129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E95D20D"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xml:space="preserve">“Existing </w:t>
            </w:r>
            <w:r w:rsidR="00BF3BFA" w:rsidRPr="00F00180">
              <w:rPr>
                <w:rFonts w:ascii="Arial" w:hAnsi="Arial"/>
                <w:color w:val="000000"/>
                <w:sz w:val="16"/>
              </w:rPr>
              <w:t>Pool</w:t>
            </w:r>
            <w:r w:rsidR="008F74BB" w:rsidRPr="00F00180">
              <w:rPr>
                <w:rFonts w:ascii="Arial" w:hAnsi="Arial"/>
                <w:color w:val="000000"/>
                <w:sz w:val="16"/>
              </w:rPr>
              <w:t>”</w:t>
            </w:r>
            <w:r w:rsidRPr="00F00180">
              <w:rPr>
                <w:rFonts w:ascii="Arial" w:hAnsi="Arial"/>
                <w:color w:val="000000"/>
                <w:sz w:val="16"/>
              </w:rPr>
              <w:t xml:space="preserve"> NPAs in service by end of year</w:t>
            </w:r>
            <w:r w:rsidR="000D7FD9" w:rsidRPr="00F00180">
              <w:rPr>
                <w:rFonts w:ascii="Arial" w:hAnsi="Arial"/>
                <w:color w:val="000000"/>
                <w:sz w:val="16"/>
              </w:rPr>
              <w:br/>
              <w:t>(new NPAs bolded)</w:t>
            </w:r>
          </w:p>
        </w:tc>
        <w:tc>
          <w:tcPr>
            <w:tcW w:w="864" w:type="dxa"/>
            <w:tcBorders>
              <w:top w:val="nil"/>
              <w:left w:val="nil"/>
              <w:bottom w:val="single" w:sz="4" w:space="0" w:color="auto"/>
              <w:right w:val="single" w:sz="4" w:space="0" w:color="auto"/>
            </w:tcBorders>
            <w:shd w:val="clear" w:color="auto" w:fill="auto"/>
            <w:noWrap/>
            <w:vAlign w:val="center"/>
            <w:hideMark/>
          </w:tcPr>
          <w:p w14:paraId="44A80148"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622 633</w:t>
            </w:r>
          </w:p>
        </w:tc>
        <w:tc>
          <w:tcPr>
            <w:tcW w:w="1008" w:type="dxa"/>
            <w:tcBorders>
              <w:top w:val="nil"/>
              <w:left w:val="nil"/>
              <w:bottom w:val="single" w:sz="4" w:space="0" w:color="auto"/>
              <w:right w:val="single" w:sz="4" w:space="0" w:color="auto"/>
            </w:tcBorders>
            <w:shd w:val="clear" w:color="auto" w:fill="auto"/>
            <w:vAlign w:val="center"/>
            <w:hideMark/>
          </w:tcPr>
          <w:p w14:paraId="7C4608B6"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622 633</w:t>
            </w:r>
          </w:p>
        </w:tc>
        <w:tc>
          <w:tcPr>
            <w:tcW w:w="970" w:type="dxa"/>
            <w:tcBorders>
              <w:top w:val="nil"/>
              <w:left w:val="nil"/>
              <w:bottom w:val="single" w:sz="4" w:space="0" w:color="auto"/>
              <w:right w:val="single" w:sz="4" w:space="0" w:color="auto"/>
            </w:tcBorders>
            <w:shd w:val="clear" w:color="auto" w:fill="auto"/>
            <w:vAlign w:val="center"/>
            <w:hideMark/>
          </w:tcPr>
          <w:p w14:paraId="25C91AFD"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xml:space="preserve">622 633 </w:t>
            </w:r>
            <w:r w:rsidRPr="00F00180">
              <w:rPr>
                <w:rFonts w:ascii="Arial" w:hAnsi="Arial"/>
                <w:b/>
                <w:color w:val="000000"/>
                <w:sz w:val="16"/>
              </w:rPr>
              <w:t>644</w:t>
            </w:r>
          </w:p>
        </w:tc>
        <w:tc>
          <w:tcPr>
            <w:tcW w:w="970" w:type="dxa"/>
            <w:tcBorders>
              <w:top w:val="nil"/>
              <w:left w:val="nil"/>
              <w:bottom w:val="single" w:sz="4" w:space="0" w:color="auto"/>
              <w:right w:val="single" w:sz="4" w:space="0" w:color="auto"/>
            </w:tcBorders>
            <w:shd w:val="clear" w:color="auto" w:fill="auto"/>
            <w:vAlign w:val="center"/>
            <w:hideMark/>
          </w:tcPr>
          <w:p w14:paraId="2F1D32E7"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xml:space="preserve">622 633 644 </w:t>
            </w:r>
            <w:r w:rsidRPr="00F00180">
              <w:rPr>
                <w:rFonts w:ascii="Arial" w:hAnsi="Arial"/>
                <w:b/>
                <w:color w:val="000000"/>
                <w:sz w:val="16"/>
              </w:rPr>
              <w:t>655</w:t>
            </w:r>
            <w:r w:rsidRPr="00F00180">
              <w:rPr>
                <w:rFonts w:ascii="Arial" w:hAnsi="Arial"/>
                <w:color w:val="000000"/>
                <w:sz w:val="16"/>
              </w:rPr>
              <w:t xml:space="preserve"> </w:t>
            </w:r>
          </w:p>
        </w:tc>
        <w:tc>
          <w:tcPr>
            <w:tcW w:w="1093" w:type="dxa"/>
            <w:tcBorders>
              <w:top w:val="nil"/>
              <w:left w:val="nil"/>
              <w:bottom w:val="single" w:sz="4" w:space="0" w:color="auto"/>
              <w:right w:val="single" w:sz="4" w:space="0" w:color="auto"/>
            </w:tcBorders>
            <w:shd w:val="clear" w:color="auto" w:fill="auto"/>
            <w:vAlign w:val="center"/>
            <w:hideMark/>
          </w:tcPr>
          <w:p w14:paraId="0E369D57"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xml:space="preserve">622 633 644 655 </w:t>
            </w:r>
          </w:p>
        </w:tc>
        <w:tc>
          <w:tcPr>
            <w:tcW w:w="847" w:type="dxa"/>
            <w:tcBorders>
              <w:top w:val="nil"/>
              <w:left w:val="nil"/>
              <w:bottom w:val="single" w:sz="4" w:space="0" w:color="auto"/>
              <w:right w:val="single" w:sz="4" w:space="0" w:color="auto"/>
            </w:tcBorders>
            <w:shd w:val="clear" w:color="auto" w:fill="auto"/>
            <w:vAlign w:val="center"/>
            <w:hideMark/>
          </w:tcPr>
          <w:p w14:paraId="603EC8C7"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xml:space="preserve">622 633 644 655 </w:t>
            </w:r>
            <w:r w:rsidRPr="00F00180">
              <w:rPr>
                <w:rFonts w:ascii="Arial" w:hAnsi="Arial"/>
                <w:b/>
                <w:color w:val="000000"/>
                <w:sz w:val="16"/>
              </w:rPr>
              <w:t>677</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63A960A5"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xml:space="preserve">622 633 644 655 677 </w:t>
            </w:r>
            <w:r w:rsidRPr="00F00180">
              <w:rPr>
                <w:rFonts w:ascii="Arial" w:hAnsi="Arial"/>
                <w:b/>
                <w:color w:val="000000"/>
                <w:sz w:val="16"/>
              </w:rPr>
              <w:t>688</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73ED786C" w14:textId="77777777" w:rsidR="00C846AE" w:rsidRPr="00F00180" w:rsidRDefault="00C846AE" w:rsidP="001351F2">
            <w:pPr>
              <w:spacing w:after="0" w:line="240" w:lineRule="auto"/>
              <w:rPr>
                <w:rFonts w:ascii="Calibri" w:hAnsi="Calibri"/>
                <w:color w:val="000000"/>
              </w:rPr>
            </w:pPr>
            <w:r w:rsidRPr="00F00180">
              <w:rPr>
                <w:rFonts w:ascii="Calibri" w:hAnsi="Calibri"/>
                <w:color w:val="000000"/>
              </w:rPr>
              <w:t>Need an incremental NPA</w:t>
            </w:r>
          </w:p>
        </w:tc>
        <w:tc>
          <w:tcPr>
            <w:tcW w:w="1435" w:type="dxa"/>
            <w:tcBorders>
              <w:top w:val="single" w:sz="4" w:space="0" w:color="auto"/>
              <w:left w:val="nil"/>
              <w:bottom w:val="single" w:sz="4" w:space="0" w:color="auto"/>
              <w:right w:val="single" w:sz="4" w:space="0" w:color="auto"/>
            </w:tcBorders>
            <w:vAlign w:val="center"/>
          </w:tcPr>
          <w:p w14:paraId="7831C94F" w14:textId="77777777" w:rsidR="00C846AE" w:rsidRPr="00F00180" w:rsidRDefault="00A7509C" w:rsidP="001351F2">
            <w:pPr>
              <w:spacing w:after="0" w:line="240" w:lineRule="auto"/>
              <w:rPr>
                <w:rFonts w:ascii="Arial" w:hAnsi="Arial"/>
                <w:color w:val="000000"/>
                <w:sz w:val="20"/>
              </w:rPr>
            </w:pPr>
            <w:r w:rsidRPr="00F00180">
              <w:rPr>
                <w:rFonts w:ascii="Arial" w:hAnsi="Arial"/>
                <w:color w:val="000000"/>
                <w:sz w:val="20"/>
              </w:rPr>
              <w:t>Note B</w:t>
            </w:r>
          </w:p>
        </w:tc>
      </w:tr>
      <w:tr w:rsidR="00C846AE" w:rsidRPr="008D1459" w14:paraId="1C7AA0E2" w14:textId="77777777" w:rsidTr="00A7509C">
        <w:trPr>
          <w:trHeight w:val="9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6982B27"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Industry Actions from this report</w:t>
            </w:r>
          </w:p>
        </w:tc>
        <w:tc>
          <w:tcPr>
            <w:tcW w:w="864" w:type="dxa"/>
            <w:tcBorders>
              <w:top w:val="nil"/>
              <w:left w:val="nil"/>
              <w:bottom w:val="single" w:sz="4" w:space="0" w:color="auto"/>
              <w:right w:val="single" w:sz="4" w:space="0" w:color="auto"/>
            </w:tcBorders>
            <w:shd w:val="clear" w:color="auto" w:fill="auto"/>
            <w:noWrap/>
            <w:vAlign w:val="center"/>
            <w:hideMark/>
          </w:tcPr>
          <w:p w14:paraId="06BC55BB"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w:t>
            </w:r>
          </w:p>
        </w:tc>
        <w:tc>
          <w:tcPr>
            <w:tcW w:w="1008" w:type="dxa"/>
            <w:tcBorders>
              <w:top w:val="nil"/>
              <w:left w:val="nil"/>
              <w:bottom w:val="single" w:sz="4" w:space="0" w:color="auto"/>
              <w:right w:val="single" w:sz="4" w:space="0" w:color="auto"/>
            </w:tcBorders>
            <w:shd w:val="clear" w:color="auto" w:fill="auto"/>
            <w:noWrap/>
            <w:vAlign w:val="center"/>
            <w:hideMark/>
          </w:tcPr>
          <w:p w14:paraId="0231A341"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w:t>
            </w:r>
          </w:p>
        </w:tc>
        <w:tc>
          <w:tcPr>
            <w:tcW w:w="970" w:type="dxa"/>
            <w:tcBorders>
              <w:top w:val="nil"/>
              <w:left w:val="nil"/>
              <w:bottom w:val="single" w:sz="4" w:space="0" w:color="auto"/>
              <w:right w:val="single" w:sz="4" w:space="0" w:color="auto"/>
            </w:tcBorders>
            <w:shd w:val="clear" w:color="auto" w:fill="auto"/>
            <w:vAlign w:val="center"/>
            <w:hideMark/>
          </w:tcPr>
          <w:p w14:paraId="4550B08E" w14:textId="77777777" w:rsidR="00C846AE" w:rsidRPr="00F00180" w:rsidRDefault="00C846AE" w:rsidP="001351F2">
            <w:pPr>
              <w:spacing w:after="0" w:line="240" w:lineRule="auto"/>
              <w:rPr>
                <w:rFonts w:ascii="Arial" w:hAnsi="Arial"/>
                <w:color w:val="000000"/>
                <w:sz w:val="16"/>
                <w:lang w:val="fr-FR"/>
              </w:rPr>
            </w:pPr>
            <w:proofErr w:type="spellStart"/>
            <w:r w:rsidRPr="00F00180">
              <w:rPr>
                <w:rFonts w:ascii="Arial" w:hAnsi="Arial"/>
                <w:color w:val="000000"/>
                <w:sz w:val="16"/>
                <w:lang w:val="fr-FR"/>
              </w:rPr>
              <w:t>Implement</w:t>
            </w:r>
            <w:proofErr w:type="spellEnd"/>
            <w:r w:rsidRPr="00F00180">
              <w:rPr>
                <w:rFonts w:ascii="Arial" w:hAnsi="Arial"/>
                <w:color w:val="000000"/>
                <w:sz w:val="16"/>
                <w:lang w:val="fr-FR"/>
              </w:rPr>
              <w:t xml:space="preserve"> Partial </w:t>
            </w:r>
            <w:proofErr w:type="spellStart"/>
            <w:proofErr w:type="gramStart"/>
            <w:r w:rsidRPr="00F00180">
              <w:rPr>
                <w:rFonts w:ascii="Arial" w:hAnsi="Arial"/>
                <w:color w:val="000000"/>
                <w:sz w:val="16"/>
                <w:lang w:val="fr-FR"/>
              </w:rPr>
              <w:t>Measures</w:t>
            </w:r>
            <w:proofErr w:type="spellEnd"/>
            <w:r w:rsidRPr="00F00180">
              <w:rPr>
                <w:rFonts w:ascii="Arial" w:hAnsi="Arial"/>
                <w:color w:val="000000"/>
                <w:sz w:val="16"/>
                <w:lang w:val="fr-FR"/>
              </w:rPr>
              <w:t xml:space="preserve">  (</w:t>
            </w:r>
            <w:proofErr w:type="gramEnd"/>
            <w:r w:rsidRPr="00F00180">
              <w:rPr>
                <w:rFonts w:ascii="Arial" w:hAnsi="Arial"/>
                <w:color w:val="000000"/>
                <w:sz w:val="16"/>
                <w:lang w:val="fr-FR"/>
              </w:rPr>
              <w:t>NPA 600 etc.)</w:t>
            </w:r>
          </w:p>
        </w:tc>
        <w:tc>
          <w:tcPr>
            <w:tcW w:w="970" w:type="dxa"/>
            <w:tcBorders>
              <w:top w:val="nil"/>
              <w:left w:val="nil"/>
              <w:bottom w:val="single" w:sz="4" w:space="0" w:color="auto"/>
              <w:right w:val="single" w:sz="4" w:space="0" w:color="auto"/>
            </w:tcBorders>
            <w:shd w:val="clear" w:color="auto" w:fill="auto"/>
            <w:noWrap/>
            <w:vAlign w:val="center"/>
            <w:hideMark/>
          </w:tcPr>
          <w:p w14:paraId="43921D6A" w14:textId="77777777" w:rsidR="00C846AE" w:rsidRPr="00F00180" w:rsidRDefault="00C846AE" w:rsidP="001351F2">
            <w:pPr>
              <w:spacing w:after="0" w:line="240" w:lineRule="auto"/>
              <w:rPr>
                <w:rFonts w:ascii="Arial" w:hAnsi="Arial"/>
                <w:color w:val="000000"/>
                <w:sz w:val="16"/>
                <w:lang w:val="fr-FR"/>
              </w:rPr>
            </w:pPr>
            <w:r w:rsidRPr="00F00180">
              <w:rPr>
                <w:rFonts w:ascii="Arial" w:hAnsi="Arial"/>
                <w:color w:val="000000"/>
                <w:sz w:val="16"/>
                <w:lang w:val="fr-FR"/>
              </w:rPr>
              <w:t> </w:t>
            </w:r>
          </w:p>
        </w:tc>
        <w:tc>
          <w:tcPr>
            <w:tcW w:w="1093" w:type="dxa"/>
            <w:tcBorders>
              <w:top w:val="nil"/>
              <w:left w:val="nil"/>
              <w:bottom w:val="single" w:sz="4" w:space="0" w:color="auto"/>
              <w:right w:val="single" w:sz="4" w:space="0" w:color="auto"/>
            </w:tcBorders>
            <w:shd w:val="clear" w:color="auto" w:fill="auto"/>
            <w:noWrap/>
            <w:vAlign w:val="center"/>
            <w:hideMark/>
          </w:tcPr>
          <w:p w14:paraId="577F5694" w14:textId="65D34AD2" w:rsidR="00C846AE" w:rsidRPr="00F00180" w:rsidRDefault="00143E45" w:rsidP="001351F2">
            <w:pPr>
              <w:spacing w:after="0" w:line="240" w:lineRule="auto"/>
              <w:rPr>
                <w:rFonts w:ascii="Arial" w:hAnsi="Arial"/>
                <w:color w:val="000000"/>
                <w:sz w:val="16"/>
              </w:rPr>
            </w:pPr>
            <w:r>
              <w:rPr>
                <w:rFonts w:ascii="Arial" w:hAnsi="Arial"/>
                <w:color w:val="000000"/>
                <w:sz w:val="16"/>
              </w:rPr>
              <w:t>Extended</w:t>
            </w:r>
            <w:r w:rsidR="00C846AE" w:rsidRPr="00F00180">
              <w:rPr>
                <w:rFonts w:ascii="Arial" w:hAnsi="Arial"/>
                <w:color w:val="000000"/>
                <w:sz w:val="16"/>
              </w:rPr>
              <w:t xml:space="preserve"> digit NPAs 677 and 688 </w:t>
            </w:r>
            <w:proofErr w:type="gramStart"/>
            <w:r w:rsidR="00C846AE" w:rsidRPr="00F00180">
              <w:rPr>
                <w:rFonts w:ascii="Arial" w:hAnsi="Arial"/>
                <w:color w:val="000000"/>
                <w:sz w:val="16"/>
              </w:rPr>
              <w:t>ready</w:t>
            </w:r>
            <w:proofErr w:type="gramEnd"/>
            <w:r w:rsidR="00C846AE" w:rsidRPr="00F00180">
              <w:rPr>
                <w:rFonts w:ascii="Arial" w:hAnsi="Arial"/>
                <w:color w:val="000000"/>
                <w:sz w:val="16"/>
              </w:rPr>
              <w:t xml:space="preserve"> for deployment </w:t>
            </w:r>
          </w:p>
        </w:tc>
        <w:tc>
          <w:tcPr>
            <w:tcW w:w="847" w:type="dxa"/>
            <w:tcBorders>
              <w:top w:val="nil"/>
              <w:left w:val="nil"/>
              <w:bottom w:val="single" w:sz="4" w:space="0" w:color="auto"/>
              <w:right w:val="single" w:sz="4" w:space="0" w:color="auto"/>
            </w:tcBorders>
            <w:shd w:val="clear" w:color="auto" w:fill="auto"/>
            <w:vAlign w:val="center"/>
            <w:hideMark/>
          </w:tcPr>
          <w:p w14:paraId="4B295B42"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xml:space="preserve"> </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0C9ED79C"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14:paraId="44C22CFA" w14:textId="77777777" w:rsidR="00C846AE" w:rsidRPr="00F00180" w:rsidRDefault="00C846AE" w:rsidP="001351F2">
            <w:pPr>
              <w:spacing w:after="0" w:line="240" w:lineRule="auto"/>
              <w:rPr>
                <w:rFonts w:ascii="Arial" w:hAnsi="Arial"/>
                <w:color w:val="000000"/>
                <w:sz w:val="16"/>
              </w:rPr>
            </w:pPr>
          </w:p>
        </w:tc>
        <w:tc>
          <w:tcPr>
            <w:tcW w:w="1435" w:type="dxa"/>
            <w:tcBorders>
              <w:top w:val="single" w:sz="4" w:space="0" w:color="auto"/>
              <w:left w:val="nil"/>
              <w:bottom w:val="single" w:sz="4" w:space="0" w:color="auto"/>
              <w:right w:val="single" w:sz="4" w:space="0" w:color="auto"/>
            </w:tcBorders>
            <w:vAlign w:val="center"/>
          </w:tcPr>
          <w:p w14:paraId="68443A3A" w14:textId="77777777" w:rsidR="00C846AE" w:rsidRPr="00F00180" w:rsidRDefault="00A7509C" w:rsidP="001351F2">
            <w:pPr>
              <w:spacing w:after="0" w:line="240" w:lineRule="auto"/>
              <w:rPr>
                <w:rFonts w:ascii="Arial" w:hAnsi="Arial"/>
                <w:color w:val="000000"/>
                <w:sz w:val="20"/>
              </w:rPr>
            </w:pPr>
            <w:r w:rsidRPr="00F00180">
              <w:rPr>
                <w:rFonts w:ascii="Arial" w:hAnsi="Arial"/>
                <w:color w:val="000000"/>
                <w:sz w:val="20"/>
              </w:rPr>
              <w:t>Note C</w:t>
            </w:r>
          </w:p>
        </w:tc>
      </w:tr>
      <w:tr w:rsidR="00C846AE" w:rsidRPr="008D1459" w14:paraId="7F5194BF" w14:textId="77777777" w:rsidTr="00A7509C">
        <w:trPr>
          <w:trHeight w:val="135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77AC177"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xml:space="preserve">“Expanded Pool” Equivalent number of </w:t>
            </w:r>
            <w:proofErr w:type="gramStart"/>
            <w:r w:rsidRPr="00F00180">
              <w:rPr>
                <w:rFonts w:ascii="Arial" w:hAnsi="Arial"/>
                <w:color w:val="000000"/>
                <w:sz w:val="16"/>
              </w:rPr>
              <w:t>1+10 digit</w:t>
            </w:r>
            <w:proofErr w:type="gramEnd"/>
            <w:r w:rsidRPr="00F00180">
              <w:rPr>
                <w:rFonts w:ascii="Arial" w:hAnsi="Arial"/>
                <w:color w:val="000000"/>
                <w:sz w:val="16"/>
              </w:rPr>
              <w:t xml:space="preserve"> NPAs available</w:t>
            </w:r>
          </w:p>
        </w:tc>
        <w:tc>
          <w:tcPr>
            <w:tcW w:w="864" w:type="dxa"/>
            <w:tcBorders>
              <w:top w:val="nil"/>
              <w:left w:val="nil"/>
              <w:bottom w:val="single" w:sz="4" w:space="0" w:color="auto"/>
              <w:right w:val="single" w:sz="4" w:space="0" w:color="auto"/>
            </w:tcBorders>
            <w:shd w:val="clear" w:color="auto" w:fill="auto"/>
            <w:noWrap/>
            <w:vAlign w:val="center"/>
            <w:hideMark/>
          </w:tcPr>
          <w:p w14:paraId="2B5CB106"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6</w:t>
            </w:r>
          </w:p>
        </w:tc>
        <w:tc>
          <w:tcPr>
            <w:tcW w:w="1008" w:type="dxa"/>
            <w:tcBorders>
              <w:top w:val="nil"/>
              <w:left w:val="nil"/>
              <w:bottom w:val="single" w:sz="4" w:space="0" w:color="auto"/>
              <w:right w:val="single" w:sz="4" w:space="0" w:color="auto"/>
            </w:tcBorders>
            <w:shd w:val="clear" w:color="auto" w:fill="auto"/>
            <w:noWrap/>
            <w:vAlign w:val="center"/>
            <w:hideMark/>
          </w:tcPr>
          <w:p w14:paraId="1DFFEEE6"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6</w:t>
            </w:r>
          </w:p>
        </w:tc>
        <w:tc>
          <w:tcPr>
            <w:tcW w:w="970" w:type="dxa"/>
            <w:tcBorders>
              <w:top w:val="nil"/>
              <w:left w:val="nil"/>
              <w:bottom w:val="single" w:sz="4" w:space="0" w:color="auto"/>
              <w:right w:val="single" w:sz="4" w:space="0" w:color="auto"/>
            </w:tcBorders>
            <w:shd w:val="clear" w:color="auto" w:fill="auto"/>
            <w:vAlign w:val="center"/>
            <w:hideMark/>
          </w:tcPr>
          <w:p w14:paraId="7E7CBE79"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7</w:t>
            </w:r>
          </w:p>
        </w:tc>
        <w:tc>
          <w:tcPr>
            <w:tcW w:w="970" w:type="dxa"/>
            <w:tcBorders>
              <w:top w:val="nil"/>
              <w:left w:val="nil"/>
              <w:bottom w:val="single" w:sz="4" w:space="0" w:color="auto"/>
              <w:right w:val="single" w:sz="4" w:space="0" w:color="auto"/>
            </w:tcBorders>
            <w:shd w:val="clear" w:color="auto" w:fill="auto"/>
            <w:noWrap/>
            <w:vAlign w:val="center"/>
            <w:hideMark/>
          </w:tcPr>
          <w:p w14:paraId="12A42EC2"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7</w:t>
            </w:r>
          </w:p>
        </w:tc>
        <w:tc>
          <w:tcPr>
            <w:tcW w:w="1093" w:type="dxa"/>
            <w:tcBorders>
              <w:top w:val="nil"/>
              <w:left w:val="nil"/>
              <w:bottom w:val="single" w:sz="4" w:space="0" w:color="auto"/>
              <w:right w:val="single" w:sz="4" w:space="0" w:color="auto"/>
            </w:tcBorders>
            <w:shd w:val="clear" w:color="auto" w:fill="auto"/>
            <w:noWrap/>
            <w:vAlign w:val="center"/>
            <w:hideMark/>
          </w:tcPr>
          <w:p w14:paraId="3FA27343" w14:textId="57BC4663"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25</w:t>
            </w:r>
            <w:r w:rsidR="00143E45">
              <w:rPr>
                <w:rFonts w:ascii="Arial" w:hAnsi="Arial"/>
                <w:color w:val="000000"/>
                <w:sz w:val="16"/>
              </w:rPr>
              <w:t xml:space="preserve"> or more</w:t>
            </w:r>
          </w:p>
        </w:tc>
        <w:tc>
          <w:tcPr>
            <w:tcW w:w="847" w:type="dxa"/>
            <w:tcBorders>
              <w:top w:val="nil"/>
              <w:left w:val="nil"/>
              <w:bottom w:val="single" w:sz="4" w:space="0" w:color="auto"/>
              <w:right w:val="single" w:sz="4" w:space="0" w:color="auto"/>
            </w:tcBorders>
            <w:shd w:val="clear" w:color="auto" w:fill="auto"/>
            <w:vAlign w:val="center"/>
            <w:hideMark/>
          </w:tcPr>
          <w:p w14:paraId="562CA050" w14:textId="16D7E5B7" w:rsidR="00C846AE" w:rsidRPr="00F00180" w:rsidRDefault="00143E45" w:rsidP="001351F2">
            <w:pPr>
              <w:spacing w:after="0" w:line="240" w:lineRule="auto"/>
              <w:rPr>
                <w:rFonts w:ascii="Arial" w:hAnsi="Arial"/>
                <w:color w:val="000000"/>
                <w:sz w:val="16"/>
              </w:rPr>
            </w:pPr>
            <w:r w:rsidRPr="00F00180">
              <w:rPr>
                <w:rFonts w:ascii="Arial" w:hAnsi="Arial"/>
                <w:color w:val="000000"/>
                <w:sz w:val="16"/>
              </w:rPr>
              <w:t>25</w:t>
            </w:r>
            <w:r>
              <w:rPr>
                <w:rFonts w:ascii="Arial" w:hAnsi="Arial"/>
                <w:color w:val="000000"/>
                <w:sz w:val="16"/>
              </w:rPr>
              <w:t xml:space="preserve"> or more</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090F0824" w14:textId="5A013701" w:rsidR="00C846AE" w:rsidRPr="00F00180" w:rsidRDefault="00143E45" w:rsidP="001351F2">
            <w:pPr>
              <w:spacing w:after="0" w:line="240" w:lineRule="auto"/>
              <w:rPr>
                <w:rFonts w:ascii="Arial" w:hAnsi="Arial"/>
                <w:color w:val="000000"/>
                <w:sz w:val="16"/>
              </w:rPr>
            </w:pPr>
            <w:r w:rsidRPr="00F00180">
              <w:rPr>
                <w:rFonts w:ascii="Arial" w:hAnsi="Arial"/>
                <w:color w:val="000000"/>
                <w:sz w:val="16"/>
              </w:rPr>
              <w:t>25</w:t>
            </w:r>
            <w:r>
              <w:rPr>
                <w:rFonts w:ascii="Arial" w:hAnsi="Arial"/>
                <w:color w:val="000000"/>
                <w:sz w:val="16"/>
              </w:rPr>
              <w:t xml:space="preserve"> or more</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14:paraId="20B7EFD9" w14:textId="5B4FEDE3" w:rsidR="00C846AE" w:rsidRPr="00F00180" w:rsidRDefault="00143E45" w:rsidP="001351F2">
            <w:pPr>
              <w:spacing w:after="0" w:line="240" w:lineRule="auto"/>
              <w:rPr>
                <w:rFonts w:ascii="Arial" w:hAnsi="Arial"/>
                <w:color w:val="000000"/>
                <w:sz w:val="16"/>
              </w:rPr>
            </w:pPr>
            <w:r w:rsidRPr="00F00180">
              <w:rPr>
                <w:rFonts w:ascii="Arial" w:hAnsi="Arial"/>
                <w:color w:val="000000"/>
                <w:sz w:val="16"/>
              </w:rPr>
              <w:t>25</w:t>
            </w:r>
            <w:r>
              <w:rPr>
                <w:rFonts w:ascii="Arial" w:hAnsi="Arial"/>
                <w:color w:val="000000"/>
                <w:sz w:val="16"/>
              </w:rPr>
              <w:t xml:space="preserve"> or more</w:t>
            </w:r>
          </w:p>
        </w:tc>
        <w:tc>
          <w:tcPr>
            <w:tcW w:w="1435" w:type="dxa"/>
            <w:tcBorders>
              <w:top w:val="single" w:sz="4" w:space="0" w:color="auto"/>
              <w:left w:val="nil"/>
              <w:bottom w:val="single" w:sz="4" w:space="0" w:color="auto"/>
              <w:right w:val="single" w:sz="4" w:space="0" w:color="auto"/>
            </w:tcBorders>
            <w:vAlign w:val="center"/>
          </w:tcPr>
          <w:p w14:paraId="4B791619" w14:textId="77777777" w:rsidR="00C846AE" w:rsidRPr="00F00180" w:rsidRDefault="00A7509C" w:rsidP="001351F2">
            <w:pPr>
              <w:spacing w:after="0" w:line="240" w:lineRule="auto"/>
              <w:rPr>
                <w:rFonts w:ascii="Arial" w:hAnsi="Arial"/>
                <w:color w:val="000000"/>
                <w:sz w:val="20"/>
              </w:rPr>
            </w:pPr>
            <w:r w:rsidRPr="00F00180">
              <w:rPr>
                <w:rFonts w:ascii="Arial" w:hAnsi="Arial"/>
                <w:color w:val="000000"/>
                <w:sz w:val="20"/>
              </w:rPr>
              <w:t>Note D</w:t>
            </w:r>
          </w:p>
        </w:tc>
      </w:tr>
      <w:tr w:rsidR="00C846AE" w:rsidRPr="008D1459" w14:paraId="0D8DF3BD" w14:textId="77777777" w:rsidTr="00A7509C">
        <w:trPr>
          <w:trHeight w:val="9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7C45127"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xml:space="preserve">“New view of in-service NPAs”  </w:t>
            </w:r>
            <w:r w:rsidRPr="00F00180">
              <w:rPr>
                <w:rFonts w:ascii="Arial" w:hAnsi="Arial"/>
                <w:color w:val="000000"/>
                <w:sz w:val="16"/>
              </w:rPr>
              <w:br/>
              <w:t>NPAs in service by end of year</w:t>
            </w:r>
            <w:r w:rsidR="000D7FD9" w:rsidRPr="00F00180">
              <w:rPr>
                <w:rFonts w:ascii="Arial" w:hAnsi="Arial"/>
                <w:color w:val="000000"/>
                <w:sz w:val="16"/>
              </w:rPr>
              <w:br/>
              <w:t>(new NPAs bolded)</w:t>
            </w:r>
          </w:p>
        </w:tc>
        <w:tc>
          <w:tcPr>
            <w:tcW w:w="864" w:type="dxa"/>
            <w:tcBorders>
              <w:top w:val="nil"/>
              <w:left w:val="nil"/>
              <w:bottom w:val="single" w:sz="4" w:space="0" w:color="auto"/>
              <w:right w:val="single" w:sz="4" w:space="0" w:color="auto"/>
            </w:tcBorders>
            <w:shd w:val="clear" w:color="auto" w:fill="auto"/>
            <w:noWrap/>
            <w:vAlign w:val="center"/>
            <w:hideMark/>
          </w:tcPr>
          <w:p w14:paraId="416A496B"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622 633</w:t>
            </w:r>
          </w:p>
        </w:tc>
        <w:tc>
          <w:tcPr>
            <w:tcW w:w="1008" w:type="dxa"/>
            <w:tcBorders>
              <w:top w:val="nil"/>
              <w:left w:val="nil"/>
              <w:bottom w:val="single" w:sz="4" w:space="0" w:color="auto"/>
              <w:right w:val="single" w:sz="4" w:space="0" w:color="auto"/>
            </w:tcBorders>
            <w:shd w:val="clear" w:color="auto" w:fill="auto"/>
            <w:vAlign w:val="center"/>
            <w:hideMark/>
          </w:tcPr>
          <w:p w14:paraId="258F5847"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622 633</w:t>
            </w:r>
          </w:p>
        </w:tc>
        <w:tc>
          <w:tcPr>
            <w:tcW w:w="970" w:type="dxa"/>
            <w:tcBorders>
              <w:top w:val="nil"/>
              <w:left w:val="nil"/>
              <w:bottom w:val="single" w:sz="4" w:space="0" w:color="auto"/>
              <w:right w:val="single" w:sz="4" w:space="0" w:color="auto"/>
            </w:tcBorders>
            <w:shd w:val="clear" w:color="auto" w:fill="auto"/>
            <w:vAlign w:val="center"/>
            <w:hideMark/>
          </w:tcPr>
          <w:p w14:paraId="073A5D6F" w14:textId="77777777" w:rsidR="00C846AE" w:rsidRPr="00F00180" w:rsidRDefault="00C846AE" w:rsidP="001351F2">
            <w:pPr>
              <w:spacing w:after="0" w:line="240" w:lineRule="auto"/>
              <w:rPr>
                <w:rFonts w:ascii="Arial" w:hAnsi="Arial"/>
                <w:color w:val="000000"/>
                <w:sz w:val="16"/>
              </w:rPr>
            </w:pPr>
            <w:r w:rsidRPr="00F00180">
              <w:rPr>
                <w:rFonts w:ascii="Arial" w:hAnsi="Arial"/>
                <w:b/>
                <w:color w:val="000000"/>
                <w:sz w:val="16"/>
              </w:rPr>
              <w:t>600</w:t>
            </w:r>
            <w:r w:rsidRPr="00F00180">
              <w:rPr>
                <w:rFonts w:ascii="Arial" w:hAnsi="Arial"/>
                <w:color w:val="000000"/>
                <w:sz w:val="16"/>
              </w:rPr>
              <w:t xml:space="preserve"> 622 633 </w:t>
            </w:r>
          </w:p>
        </w:tc>
        <w:tc>
          <w:tcPr>
            <w:tcW w:w="970" w:type="dxa"/>
            <w:tcBorders>
              <w:top w:val="nil"/>
              <w:left w:val="nil"/>
              <w:bottom w:val="single" w:sz="4" w:space="0" w:color="auto"/>
              <w:right w:val="single" w:sz="4" w:space="0" w:color="auto"/>
            </w:tcBorders>
            <w:shd w:val="clear" w:color="auto" w:fill="auto"/>
            <w:vAlign w:val="center"/>
            <w:hideMark/>
          </w:tcPr>
          <w:p w14:paraId="651F234B"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xml:space="preserve">600 622 633 </w:t>
            </w:r>
            <w:r w:rsidRPr="00F00180">
              <w:rPr>
                <w:rFonts w:ascii="Arial" w:hAnsi="Arial"/>
                <w:b/>
                <w:color w:val="000000"/>
                <w:sz w:val="16"/>
              </w:rPr>
              <w:t>644</w:t>
            </w:r>
          </w:p>
        </w:tc>
        <w:tc>
          <w:tcPr>
            <w:tcW w:w="1093" w:type="dxa"/>
            <w:tcBorders>
              <w:top w:val="nil"/>
              <w:left w:val="nil"/>
              <w:bottom w:val="single" w:sz="4" w:space="0" w:color="auto"/>
              <w:right w:val="single" w:sz="4" w:space="0" w:color="auto"/>
            </w:tcBorders>
            <w:shd w:val="clear" w:color="auto" w:fill="auto"/>
            <w:vAlign w:val="center"/>
            <w:hideMark/>
          </w:tcPr>
          <w:p w14:paraId="7699E862"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600 622 633 644</w:t>
            </w:r>
          </w:p>
        </w:tc>
        <w:tc>
          <w:tcPr>
            <w:tcW w:w="847" w:type="dxa"/>
            <w:tcBorders>
              <w:top w:val="nil"/>
              <w:left w:val="nil"/>
              <w:bottom w:val="single" w:sz="4" w:space="0" w:color="auto"/>
              <w:right w:val="single" w:sz="4" w:space="0" w:color="auto"/>
            </w:tcBorders>
            <w:shd w:val="clear" w:color="auto" w:fill="auto"/>
            <w:vAlign w:val="center"/>
            <w:hideMark/>
          </w:tcPr>
          <w:p w14:paraId="0974E646" w14:textId="77777777"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xml:space="preserve">600 622 633 644 </w:t>
            </w:r>
            <w:r w:rsidRPr="00F00180">
              <w:rPr>
                <w:rFonts w:ascii="Arial" w:hAnsi="Arial"/>
                <w:b/>
                <w:color w:val="000000"/>
                <w:sz w:val="16"/>
              </w:rPr>
              <w:t>655</w:t>
            </w:r>
          </w:p>
        </w:tc>
        <w:tc>
          <w:tcPr>
            <w:tcW w:w="813" w:type="dxa"/>
            <w:tcBorders>
              <w:top w:val="nil"/>
              <w:left w:val="nil"/>
              <w:bottom w:val="single" w:sz="4" w:space="0" w:color="auto"/>
              <w:right w:val="single" w:sz="4" w:space="0" w:color="auto"/>
            </w:tcBorders>
            <w:shd w:val="clear" w:color="auto" w:fill="auto"/>
            <w:vAlign w:val="center"/>
            <w:hideMark/>
          </w:tcPr>
          <w:p w14:paraId="64B2C9D8" w14:textId="43334C6E"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xml:space="preserve">600 622 633 644 655 &amp; </w:t>
            </w:r>
            <w:r w:rsidR="00143E45">
              <w:rPr>
                <w:rFonts w:ascii="Arial" w:hAnsi="Arial"/>
                <w:b/>
                <w:color w:val="000000"/>
                <w:sz w:val="16"/>
              </w:rPr>
              <w:t>extended</w:t>
            </w:r>
            <w:r w:rsidR="00143E45" w:rsidRPr="00F00180">
              <w:rPr>
                <w:rFonts w:ascii="Arial" w:hAnsi="Arial"/>
                <w:b/>
                <w:color w:val="000000"/>
                <w:sz w:val="16"/>
              </w:rPr>
              <w:t xml:space="preserve"> digit</w:t>
            </w:r>
            <w:r w:rsidRPr="00F00180">
              <w:rPr>
                <w:rFonts w:ascii="Arial" w:hAnsi="Arial"/>
                <w:b/>
                <w:color w:val="000000"/>
                <w:sz w:val="16"/>
              </w:rPr>
              <w:t xml:space="preserve"> 677</w:t>
            </w:r>
          </w:p>
        </w:tc>
        <w:tc>
          <w:tcPr>
            <w:tcW w:w="1435" w:type="dxa"/>
            <w:tcBorders>
              <w:top w:val="nil"/>
              <w:left w:val="nil"/>
              <w:bottom w:val="single" w:sz="4" w:space="0" w:color="auto"/>
              <w:right w:val="single" w:sz="4" w:space="0" w:color="auto"/>
            </w:tcBorders>
            <w:shd w:val="clear" w:color="auto" w:fill="auto"/>
            <w:vAlign w:val="center"/>
            <w:hideMark/>
          </w:tcPr>
          <w:p w14:paraId="39F64912" w14:textId="3AC52BC1" w:rsidR="00C846AE" w:rsidRPr="00F00180" w:rsidRDefault="00C846AE" w:rsidP="001351F2">
            <w:pPr>
              <w:spacing w:after="0" w:line="240" w:lineRule="auto"/>
              <w:rPr>
                <w:rFonts w:ascii="Arial" w:hAnsi="Arial"/>
                <w:color w:val="000000"/>
                <w:sz w:val="16"/>
              </w:rPr>
            </w:pPr>
            <w:r w:rsidRPr="00F00180">
              <w:rPr>
                <w:rFonts w:ascii="Arial" w:hAnsi="Arial"/>
                <w:color w:val="000000"/>
                <w:sz w:val="16"/>
              </w:rPr>
              <w:t xml:space="preserve">600 622 633 644 655 &amp; </w:t>
            </w:r>
            <w:r w:rsidR="00143E45">
              <w:rPr>
                <w:rFonts w:ascii="Arial" w:hAnsi="Arial"/>
                <w:color w:val="000000"/>
                <w:sz w:val="16"/>
              </w:rPr>
              <w:t>extended</w:t>
            </w:r>
            <w:r w:rsidR="00143E45" w:rsidRPr="00F00180">
              <w:rPr>
                <w:rFonts w:ascii="Arial" w:hAnsi="Arial"/>
                <w:color w:val="000000"/>
                <w:sz w:val="16"/>
              </w:rPr>
              <w:t xml:space="preserve"> </w:t>
            </w:r>
            <w:r w:rsidRPr="00F00180">
              <w:rPr>
                <w:rFonts w:ascii="Arial" w:hAnsi="Arial"/>
                <w:color w:val="000000"/>
                <w:sz w:val="16"/>
              </w:rPr>
              <w:t>digit 677 </w:t>
            </w:r>
          </w:p>
        </w:tc>
        <w:tc>
          <w:tcPr>
            <w:tcW w:w="1435" w:type="dxa"/>
            <w:tcBorders>
              <w:top w:val="nil"/>
              <w:left w:val="nil"/>
              <w:bottom w:val="single" w:sz="4" w:space="0" w:color="auto"/>
              <w:right w:val="single" w:sz="4" w:space="0" w:color="auto"/>
            </w:tcBorders>
            <w:vAlign w:val="center"/>
          </w:tcPr>
          <w:p w14:paraId="385E1D11" w14:textId="77777777" w:rsidR="00C846AE" w:rsidRPr="00F00180" w:rsidRDefault="00A7509C" w:rsidP="001351F2">
            <w:pPr>
              <w:spacing w:after="0" w:line="240" w:lineRule="auto"/>
              <w:rPr>
                <w:rFonts w:ascii="Arial" w:hAnsi="Arial"/>
                <w:color w:val="000000"/>
                <w:sz w:val="20"/>
              </w:rPr>
            </w:pPr>
            <w:r w:rsidRPr="00F00180">
              <w:rPr>
                <w:rFonts w:ascii="Arial" w:hAnsi="Arial"/>
                <w:color w:val="000000"/>
                <w:sz w:val="20"/>
              </w:rPr>
              <w:t>Note E</w:t>
            </w:r>
          </w:p>
        </w:tc>
      </w:tr>
    </w:tbl>
    <w:p w14:paraId="19CC55FB" w14:textId="77777777" w:rsidR="008D1459" w:rsidRPr="00AA3F82" w:rsidRDefault="008D1459" w:rsidP="001351F2">
      <w:pPr>
        <w:rPr>
          <w:rFonts w:ascii="Arial" w:hAnsi="Arial" w:cs="Arial"/>
        </w:rPr>
      </w:pPr>
    </w:p>
    <w:p w14:paraId="4F0B3A20" w14:textId="761FF393" w:rsidR="00367585" w:rsidRDefault="00367585" w:rsidP="001351F2"/>
    <w:p w14:paraId="42D051E7" w14:textId="77777777" w:rsidR="00635ABB" w:rsidRPr="00366CB8" w:rsidRDefault="00635ABB" w:rsidP="001351F2"/>
    <w:p w14:paraId="7CC1C373" w14:textId="3B9F3D14" w:rsidR="002552CA" w:rsidRPr="00E61633" w:rsidRDefault="00566CA7" w:rsidP="001351F2">
      <w:pPr>
        <w:rPr>
          <w:rFonts w:ascii="Arial" w:hAnsi="Arial" w:cs="Arial"/>
          <w:u w:val="single"/>
        </w:rPr>
      </w:pPr>
      <w:r>
        <w:rPr>
          <w:rFonts w:ascii="Arial" w:hAnsi="Arial" w:cs="Arial"/>
          <w:u w:val="single"/>
        </w:rPr>
        <w:br w:type="page"/>
      </w:r>
      <w:r w:rsidR="002552CA" w:rsidRPr="00E61633">
        <w:rPr>
          <w:rFonts w:ascii="Arial" w:hAnsi="Arial" w:cs="Arial"/>
          <w:u w:val="single"/>
        </w:rPr>
        <w:lastRenderedPageBreak/>
        <w:t>Notes</w:t>
      </w:r>
      <w:r w:rsidR="00635ABB">
        <w:rPr>
          <w:rFonts w:ascii="Arial" w:hAnsi="Arial" w:cs="Arial"/>
          <w:u w:val="single"/>
        </w:rPr>
        <w:t xml:space="preserve"> to Figure 5</w:t>
      </w:r>
    </w:p>
    <w:p w14:paraId="30740D36" w14:textId="77777777" w:rsidR="00363526" w:rsidRPr="00F00180" w:rsidRDefault="00116275" w:rsidP="001351F2">
      <w:pPr>
        <w:pStyle w:val="ListParagraph"/>
        <w:numPr>
          <w:ilvl w:val="0"/>
          <w:numId w:val="27"/>
        </w:numPr>
        <w:spacing w:after="120"/>
        <w:contextualSpacing w:val="0"/>
        <w:rPr>
          <w:rFonts w:ascii="Arial" w:hAnsi="Arial"/>
          <w:sz w:val="22"/>
          <w:lang w:val="en-CA"/>
        </w:rPr>
      </w:pPr>
      <w:r w:rsidRPr="00F00180">
        <w:rPr>
          <w:rFonts w:ascii="Arial" w:hAnsi="Arial"/>
          <w:sz w:val="22"/>
          <w:lang w:val="en-CA"/>
        </w:rPr>
        <w:t xml:space="preserve">“Demand” row: </w:t>
      </w:r>
      <w:r w:rsidR="00AA3F82" w:rsidRPr="00F00180">
        <w:rPr>
          <w:rFonts w:ascii="Arial" w:hAnsi="Arial"/>
          <w:sz w:val="22"/>
          <w:lang w:val="en-CA"/>
        </w:rPr>
        <w:t xml:space="preserve">This </w:t>
      </w:r>
      <w:r w:rsidR="006B3E34" w:rsidRPr="00F00180">
        <w:rPr>
          <w:rFonts w:ascii="Arial" w:hAnsi="Arial"/>
          <w:sz w:val="22"/>
          <w:lang w:val="en-CA"/>
        </w:rPr>
        <w:t>forecast</w:t>
      </w:r>
      <w:r w:rsidR="00363526" w:rsidRPr="00F00180">
        <w:rPr>
          <w:rFonts w:ascii="Arial" w:hAnsi="Arial"/>
          <w:sz w:val="22"/>
          <w:lang w:val="en-CA"/>
        </w:rPr>
        <w:t xml:space="preserve"> is based upon the </w:t>
      </w:r>
      <w:r w:rsidR="00D20996" w:rsidRPr="00F00180">
        <w:rPr>
          <w:rFonts w:ascii="Arial" w:hAnsi="Arial"/>
          <w:sz w:val="22"/>
          <w:lang w:val="en-CA"/>
        </w:rPr>
        <w:t xml:space="preserve">July </w:t>
      </w:r>
      <w:r w:rsidR="00363526" w:rsidRPr="00F00180">
        <w:rPr>
          <w:rFonts w:ascii="Arial" w:hAnsi="Arial"/>
          <w:sz w:val="22"/>
          <w:lang w:val="en-CA"/>
        </w:rPr>
        <w:t>202</w:t>
      </w:r>
      <w:r w:rsidR="006B3E34" w:rsidRPr="00F00180">
        <w:rPr>
          <w:rFonts w:ascii="Arial" w:hAnsi="Arial"/>
          <w:sz w:val="22"/>
          <w:lang w:val="en-CA"/>
        </w:rPr>
        <w:t>3</w:t>
      </w:r>
      <w:r w:rsidR="00363526" w:rsidRPr="00F00180">
        <w:rPr>
          <w:rFonts w:ascii="Arial" w:hAnsi="Arial"/>
          <w:sz w:val="22"/>
          <w:lang w:val="en-CA"/>
        </w:rPr>
        <w:t xml:space="preserve"> NRUF.  In any event, the 6YY NPA rollout plan (or, “</w:t>
      </w:r>
      <w:r w:rsidR="006B3E34" w:rsidRPr="00F00180">
        <w:rPr>
          <w:rFonts w:ascii="Arial" w:hAnsi="Arial"/>
          <w:sz w:val="22"/>
          <w:lang w:val="en-CA"/>
        </w:rPr>
        <w:t>roadmap</w:t>
      </w:r>
      <w:r w:rsidR="00363526" w:rsidRPr="00F00180">
        <w:rPr>
          <w:rFonts w:ascii="Arial" w:hAnsi="Arial"/>
          <w:sz w:val="22"/>
          <w:lang w:val="en-CA"/>
        </w:rPr>
        <w:t xml:space="preserve">”) must be flexible and reflect the most current NRUF because the NRUF is an extrapolated forecast and </w:t>
      </w:r>
      <w:r w:rsidRPr="00F00180">
        <w:rPr>
          <w:rFonts w:ascii="Arial" w:hAnsi="Arial"/>
          <w:sz w:val="22"/>
          <w:lang w:val="en-CA"/>
        </w:rPr>
        <w:t>when</w:t>
      </w:r>
      <w:r w:rsidR="00363526" w:rsidRPr="00F00180">
        <w:rPr>
          <w:rFonts w:ascii="Arial" w:hAnsi="Arial"/>
          <w:sz w:val="22"/>
          <w:lang w:val="en-CA"/>
        </w:rPr>
        <w:t xml:space="preserve"> </w:t>
      </w:r>
      <w:r w:rsidRPr="00F00180">
        <w:rPr>
          <w:rFonts w:ascii="Arial" w:hAnsi="Arial"/>
          <w:sz w:val="22"/>
          <w:lang w:val="en-CA"/>
        </w:rPr>
        <w:t>time from the present increases</w:t>
      </w:r>
      <w:r w:rsidR="00363526" w:rsidRPr="00F00180">
        <w:rPr>
          <w:rFonts w:ascii="Arial" w:hAnsi="Arial"/>
          <w:sz w:val="22"/>
          <w:lang w:val="en-CA"/>
        </w:rPr>
        <w:t>, extrapolated forecasts decline in accuracy.</w:t>
      </w:r>
    </w:p>
    <w:p w14:paraId="6F2BA2F6" w14:textId="77777777" w:rsidR="00367585" w:rsidRPr="00F00180" w:rsidRDefault="00116275" w:rsidP="001351F2">
      <w:pPr>
        <w:pStyle w:val="ListParagraph"/>
        <w:numPr>
          <w:ilvl w:val="0"/>
          <w:numId w:val="27"/>
        </w:numPr>
        <w:spacing w:after="120"/>
        <w:ind w:hanging="436"/>
        <w:contextualSpacing w:val="0"/>
        <w:rPr>
          <w:rFonts w:ascii="Arial" w:hAnsi="Arial"/>
          <w:sz w:val="22"/>
          <w:lang w:val="en-CA"/>
        </w:rPr>
      </w:pPr>
      <w:r w:rsidRPr="00F00180">
        <w:rPr>
          <w:rFonts w:ascii="Arial" w:hAnsi="Arial"/>
          <w:sz w:val="22"/>
          <w:lang w:val="en-CA"/>
        </w:rPr>
        <w:t xml:space="preserve">“Existing </w:t>
      </w:r>
      <w:r w:rsidR="00BF3BFA" w:rsidRPr="00F00180">
        <w:rPr>
          <w:rFonts w:ascii="Arial" w:hAnsi="Arial"/>
          <w:sz w:val="22"/>
          <w:lang w:val="en-CA"/>
        </w:rPr>
        <w:t>Pool</w:t>
      </w:r>
      <w:r w:rsidRPr="00F00180">
        <w:rPr>
          <w:rFonts w:ascii="Arial" w:hAnsi="Arial"/>
          <w:sz w:val="22"/>
          <w:lang w:val="en-CA"/>
        </w:rPr>
        <w:t xml:space="preserve">”: </w:t>
      </w:r>
      <w:r w:rsidR="007D7838" w:rsidRPr="00F00180">
        <w:rPr>
          <w:rFonts w:ascii="Arial" w:hAnsi="Arial"/>
          <w:sz w:val="22"/>
          <w:lang w:val="en-CA"/>
        </w:rPr>
        <w:t xml:space="preserve">Newly deployed NPAs are </w:t>
      </w:r>
      <w:r w:rsidR="007D7838" w:rsidRPr="00F00180">
        <w:rPr>
          <w:rFonts w:ascii="Arial" w:hAnsi="Arial"/>
          <w:b/>
          <w:sz w:val="22"/>
          <w:lang w:val="en-CA"/>
        </w:rPr>
        <w:t>bolded</w:t>
      </w:r>
      <w:r w:rsidR="007D7838" w:rsidRPr="00F00180">
        <w:rPr>
          <w:rFonts w:ascii="Arial" w:hAnsi="Arial"/>
          <w:sz w:val="22"/>
          <w:lang w:val="en-CA"/>
        </w:rPr>
        <w:t xml:space="preserve">.  </w:t>
      </w:r>
      <w:r w:rsidR="00CF0086" w:rsidRPr="00F00180">
        <w:rPr>
          <w:rFonts w:ascii="Arial" w:hAnsi="Arial"/>
          <w:sz w:val="22"/>
          <w:lang w:val="en-CA"/>
        </w:rPr>
        <w:t>The</w:t>
      </w:r>
      <w:r w:rsidR="00CF0086" w:rsidRPr="00E61633">
        <w:rPr>
          <w:rFonts w:ascii="Arial" w:hAnsi="Arial" w:cs="Arial"/>
          <w:sz w:val="22"/>
          <w:szCs w:val="22"/>
        </w:rPr>
        <w:t xml:space="preserve"> </w:t>
      </w:r>
      <w:r w:rsidR="00D251FC">
        <w:rPr>
          <w:rFonts w:ascii="Arial" w:hAnsi="Arial" w:cs="Arial"/>
          <w:sz w:val="22"/>
          <w:szCs w:val="22"/>
        </w:rPr>
        <w:t>existing</w:t>
      </w:r>
      <w:r w:rsidR="00D251FC" w:rsidRPr="00F57FC1">
        <w:rPr>
          <w:rFonts w:ascii="Arial" w:hAnsi="Arial"/>
          <w:sz w:val="22"/>
        </w:rPr>
        <w:t xml:space="preserve"> </w:t>
      </w:r>
      <w:r w:rsidR="00CF0086" w:rsidRPr="00F00180">
        <w:rPr>
          <w:rFonts w:ascii="Arial" w:hAnsi="Arial"/>
          <w:sz w:val="22"/>
          <w:lang w:val="en-CA"/>
        </w:rPr>
        <w:t>six 6YY NPAs will exhaust in 2030.</w:t>
      </w:r>
      <w:r w:rsidR="00B1177B" w:rsidRPr="00F00180">
        <w:rPr>
          <w:rFonts w:ascii="Arial" w:hAnsi="Arial"/>
          <w:sz w:val="22"/>
          <w:lang w:val="en-CA"/>
        </w:rPr>
        <w:t xml:space="preserve"> </w:t>
      </w:r>
    </w:p>
    <w:p w14:paraId="7817A91B" w14:textId="7D70E740" w:rsidR="00367585" w:rsidRPr="00F00180" w:rsidRDefault="00116275" w:rsidP="001351F2">
      <w:pPr>
        <w:pStyle w:val="ListParagraph"/>
        <w:numPr>
          <w:ilvl w:val="0"/>
          <w:numId w:val="27"/>
        </w:numPr>
        <w:spacing w:after="120"/>
        <w:ind w:hanging="436"/>
        <w:contextualSpacing w:val="0"/>
        <w:rPr>
          <w:rFonts w:ascii="Arial" w:hAnsi="Arial"/>
          <w:sz w:val="22"/>
          <w:lang w:val="en-CA"/>
        </w:rPr>
      </w:pPr>
      <w:r w:rsidRPr="00F00180">
        <w:rPr>
          <w:rFonts w:ascii="Arial" w:hAnsi="Arial"/>
          <w:sz w:val="22"/>
          <w:lang w:val="en-CA"/>
        </w:rPr>
        <w:t>“Industry Actions from this report”: the recommended t</w:t>
      </w:r>
      <w:r w:rsidR="00B1177B" w:rsidRPr="00F00180">
        <w:rPr>
          <w:rFonts w:ascii="Arial" w:hAnsi="Arial"/>
          <w:sz w:val="22"/>
          <w:lang w:val="en-CA"/>
        </w:rPr>
        <w:t>iming of new measures</w:t>
      </w:r>
      <w:r w:rsidRPr="00F00180">
        <w:rPr>
          <w:rFonts w:ascii="Arial" w:hAnsi="Arial"/>
          <w:sz w:val="22"/>
          <w:lang w:val="en-CA"/>
        </w:rPr>
        <w:t xml:space="preserve"> </w:t>
      </w:r>
      <w:r w:rsidR="00143E45" w:rsidRPr="00143E45">
        <w:rPr>
          <w:rFonts w:ascii="Arial" w:hAnsi="Arial"/>
          <w:sz w:val="22"/>
          <w:lang w:val="en-CA"/>
        </w:rPr>
        <w:t>is</w:t>
      </w:r>
      <w:r w:rsidRPr="00F00180">
        <w:rPr>
          <w:rFonts w:ascii="Arial" w:hAnsi="Arial"/>
          <w:sz w:val="22"/>
          <w:lang w:val="en-CA"/>
        </w:rPr>
        <w:t xml:space="preserve"> listed</w:t>
      </w:r>
      <w:r w:rsidR="00B1177B" w:rsidRPr="00F00180">
        <w:rPr>
          <w:rFonts w:ascii="Arial" w:hAnsi="Arial"/>
          <w:sz w:val="22"/>
          <w:lang w:val="en-CA"/>
        </w:rPr>
        <w:t xml:space="preserve">.  They include the introduction of </w:t>
      </w:r>
      <w:r w:rsidRPr="00F00180">
        <w:rPr>
          <w:rFonts w:ascii="Arial" w:hAnsi="Arial"/>
          <w:sz w:val="22"/>
          <w:lang w:val="en-CA"/>
        </w:rPr>
        <w:t xml:space="preserve">a partitioned NPA </w:t>
      </w:r>
      <w:r w:rsidR="00B1177B" w:rsidRPr="00F00180">
        <w:rPr>
          <w:rFonts w:ascii="Arial" w:hAnsi="Arial"/>
          <w:sz w:val="22"/>
          <w:lang w:val="en-CA"/>
        </w:rPr>
        <w:t>600</w:t>
      </w:r>
      <w:r w:rsidR="00D251FC">
        <w:rPr>
          <w:rFonts w:ascii="Arial" w:hAnsi="Arial" w:cs="Arial"/>
          <w:sz w:val="22"/>
          <w:szCs w:val="22"/>
        </w:rPr>
        <w:t xml:space="preserve"> and</w:t>
      </w:r>
      <w:r w:rsidR="00385D59" w:rsidRPr="00F00180">
        <w:rPr>
          <w:rFonts w:ascii="Arial" w:hAnsi="Arial"/>
          <w:sz w:val="22"/>
          <w:lang w:val="en-CA"/>
        </w:rPr>
        <w:t xml:space="preserve"> </w:t>
      </w:r>
      <w:r w:rsidR="00143E45" w:rsidRPr="00F00180">
        <w:rPr>
          <w:rFonts w:ascii="Arial" w:hAnsi="Arial"/>
          <w:sz w:val="22"/>
          <w:lang w:val="en-CA"/>
        </w:rPr>
        <w:t xml:space="preserve">Option </w:t>
      </w:r>
      <w:r w:rsidR="00143E45">
        <w:rPr>
          <w:rFonts w:ascii="Arial" w:hAnsi="Arial"/>
          <w:sz w:val="22"/>
          <w:lang w:val="en-CA"/>
        </w:rPr>
        <w:t>7 (extended digit 677 and 688)</w:t>
      </w:r>
      <w:r w:rsidR="00385D59" w:rsidRPr="00F00180">
        <w:rPr>
          <w:rFonts w:ascii="Arial" w:hAnsi="Arial"/>
          <w:sz w:val="22"/>
          <w:lang w:val="en-CA"/>
        </w:rPr>
        <w:t xml:space="preserve"> </w:t>
      </w:r>
    </w:p>
    <w:p w14:paraId="3EBF66D2" w14:textId="01A9CC32" w:rsidR="00F66ABC" w:rsidRPr="00F00180" w:rsidRDefault="00D82B60" w:rsidP="001351F2">
      <w:pPr>
        <w:pStyle w:val="ListParagraph"/>
        <w:numPr>
          <w:ilvl w:val="0"/>
          <w:numId w:val="27"/>
        </w:numPr>
        <w:spacing w:after="120"/>
        <w:ind w:hanging="436"/>
        <w:contextualSpacing w:val="0"/>
        <w:rPr>
          <w:rFonts w:ascii="Arial" w:hAnsi="Arial"/>
          <w:sz w:val="22"/>
          <w:lang w:val="en-CA"/>
        </w:rPr>
      </w:pPr>
      <w:r w:rsidRPr="00F00180">
        <w:rPr>
          <w:rFonts w:ascii="Arial" w:hAnsi="Arial"/>
          <w:sz w:val="22"/>
          <w:lang w:val="en-CA"/>
        </w:rPr>
        <w:t xml:space="preserve">“Expanded </w:t>
      </w:r>
      <w:r w:rsidR="00BF3BFA" w:rsidRPr="00F00180">
        <w:rPr>
          <w:rFonts w:ascii="Arial" w:hAnsi="Arial"/>
          <w:sz w:val="22"/>
          <w:lang w:val="en-CA"/>
        </w:rPr>
        <w:t>pool</w:t>
      </w:r>
      <w:r w:rsidRPr="00F00180">
        <w:rPr>
          <w:rFonts w:ascii="Arial" w:hAnsi="Arial"/>
          <w:sz w:val="22"/>
          <w:lang w:val="en-CA"/>
        </w:rPr>
        <w:t xml:space="preserve"> of </w:t>
      </w:r>
      <w:r w:rsidR="005152F7" w:rsidRPr="00F00180">
        <w:rPr>
          <w:rFonts w:ascii="Arial" w:hAnsi="Arial"/>
          <w:sz w:val="22"/>
          <w:lang w:val="en-CA"/>
        </w:rPr>
        <w:t xml:space="preserve">in-service </w:t>
      </w:r>
      <w:r w:rsidRPr="00F00180">
        <w:rPr>
          <w:rFonts w:ascii="Arial" w:hAnsi="Arial"/>
          <w:sz w:val="22"/>
          <w:lang w:val="en-CA"/>
        </w:rPr>
        <w:t>NPAs</w:t>
      </w:r>
      <w:r w:rsidR="005152F7" w:rsidRPr="00F00180">
        <w:rPr>
          <w:rFonts w:ascii="Arial" w:hAnsi="Arial"/>
          <w:sz w:val="22"/>
          <w:lang w:val="en-CA"/>
        </w:rPr>
        <w:t>,</w:t>
      </w:r>
      <w:r w:rsidRPr="00F00180">
        <w:rPr>
          <w:rFonts w:ascii="Arial" w:hAnsi="Arial"/>
          <w:sz w:val="22"/>
          <w:lang w:val="en-CA"/>
        </w:rPr>
        <w:t xml:space="preserve">” is the equivalent number of phone numbers expressed in quantity of </w:t>
      </w:r>
      <w:r w:rsidR="00366CB8" w:rsidRPr="00F00180">
        <w:rPr>
          <w:rFonts w:ascii="Arial" w:hAnsi="Arial"/>
          <w:sz w:val="22"/>
          <w:lang w:val="en-CA"/>
        </w:rPr>
        <w:t>1+</w:t>
      </w:r>
      <w:r w:rsidR="00292304" w:rsidRPr="00F00180">
        <w:rPr>
          <w:rFonts w:ascii="Arial" w:hAnsi="Arial"/>
          <w:sz w:val="22"/>
          <w:lang w:val="en-CA"/>
        </w:rPr>
        <w:t>10</w:t>
      </w:r>
      <w:r w:rsidRPr="00F00180">
        <w:rPr>
          <w:rFonts w:ascii="Arial" w:hAnsi="Arial"/>
          <w:sz w:val="22"/>
          <w:lang w:val="en-CA"/>
        </w:rPr>
        <w:t xml:space="preserve">-digit NPAs.  Initially, there are six 6YY NPAs, namely 622, 633, 644, 655, 677, and 688.  The introduction of a partitioned NPA 600 and other interim measures provides </w:t>
      </w:r>
      <w:r w:rsidR="005152F7" w:rsidRPr="00F00180">
        <w:rPr>
          <w:rFonts w:ascii="Arial" w:hAnsi="Arial"/>
          <w:sz w:val="22"/>
          <w:lang w:val="en-CA"/>
        </w:rPr>
        <w:t xml:space="preserve">approximately </w:t>
      </w:r>
      <w:r w:rsidRPr="00F00180">
        <w:rPr>
          <w:rFonts w:ascii="Arial" w:hAnsi="Arial"/>
          <w:sz w:val="22"/>
          <w:lang w:val="en-CA"/>
        </w:rPr>
        <w:t>another NPA</w:t>
      </w:r>
      <w:r w:rsidR="005152F7" w:rsidRPr="00F00180">
        <w:rPr>
          <w:rFonts w:ascii="Arial" w:hAnsi="Arial"/>
          <w:sz w:val="22"/>
          <w:lang w:val="en-CA"/>
        </w:rPr>
        <w:t>’s worth of telephone numbers which</w:t>
      </w:r>
      <w:r w:rsidRPr="00F00180">
        <w:rPr>
          <w:rFonts w:ascii="Arial" w:hAnsi="Arial"/>
          <w:sz w:val="22"/>
          <w:lang w:val="en-CA"/>
        </w:rPr>
        <w:t xml:space="preserve"> we name “</w:t>
      </w:r>
      <w:r w:rsidR="005152F7" w:rsidRPr="00F00180">
        <w:rPr>
          <w:rFonts w:ascii="Arial" w:hAnsi="Arial"/>
          <w:sz w:val="22"/>
          <w:lang w:val="en-CA"/>
        </w:rPr>
        <w:t xml:space="preserve">NPA </w:t>
      </w:r>
      <w:r w:rsidRPr="00F00180">
        <w:rPr>
          <w:rFonts w:ascii="Arial" w:hAnsi="Arial"/>
          <w:sz w:val="22"/>
          <w:lang w:val="en-CA"/>
        </w:rPr>
        <w:t>600.”  NPAs 677 and 688, when expanded, will each provision the equivalent of ten</w:t>
      </w:r>
      <w:r w:rsidR="00143E45" w:rsidRPr="00F00180">
        <w:rPr>
          <w:rFonts w:ascii="Arial" w:hAnsi="Arial"/>
          <w:sz w:val="22"/>
          <w:lang w:val="en-CA"/>
        </w:rPr>
        <w:t xml:space="preserve"> </w:t>
      </w:r>
      <w:r w:rsidR="00143E45">
        <w:rPr>
          <w:rFonts w:ascii="Arial" w:hAnsi="Arial"/>
          <w:sz w:val="22"/>
          <w:lang w:val="en-CA"/>
        </w:rPr>
        <w:t>or more</w:t>
      </w:r>
      <w:r w:rsidRPr="00F57FC1">
        <w:rPr>
          <w:rFonts w:ascii="Arial" w:hAnsi="Arial"/>
          <w:sz w:val="22"/>
          <w:lang w:val="en-CA"/>
        </w:rPr>
        <w:t xml:space="preserve"> </w:t>
      </w:r>
      <w:r w:rsidR="00366CB8" w:rsidRPr="00F00180">
        <w:rPr>
          <w:rFonts w:ascii="Arial" w:hAnsi="Arial"/>
          <w:sz w:val="22"/>
          <w:lang w:val="en-CA"/>
        </w:rPr>
        <w:t>1+</w:t>
      </w:r>
      <w:r w:rsidRPr="00F00180">
        <w:rPr>
          <w:rFonts w:ascii="Arial" w:hAnsi="Arial"/>
          <w:sz w:val="22"/>
          <w:lang w:val="en-CA"/>
        </w:rPr>
        <w:t xml:space="preserve">10-digit NPAs.  </w:t>
      </w:r>
      <w:r w:rsidR="005152F7" w:rsidRPr="00F00180">
        <w:rPr>
          <w:rFonts w:ascii="Arial" w:hAnsi="Arial"/>
          <w:sz w:val="22"/>
          <w:lang w:val="en-CA"/>
        </w:rPr>
        <w:t>Therefore,</w:t>
      </w:r>
      <w:r w:rsidRPr="00F00180">
        <w:rPr>
          <w:rFonts w:ascii="Arial" w:hAnsi="Arial"/>
          <w:sz w:val="22"/>
          <w:lang w:val="en-CA"/>
        </w:rPr>
        <w:t xml:space="preserve"> the number of equivalent </w:t>
      </w:r>
      <w:r w:rsidR="00204A7D" w:rsidRPr="00F00180">
        <w:rPr>
          <w:rFonts w:ascii="Arial" w:hAnsi="Arial"/>
          <w:sz w:val="22"/>
          <w:lang w:val="en-CA"/>
        </w:rPr>
        <w:t>1+</w:t>
      </w:r>
      <w:r w:rsidRPr="00F00180">
        <w:rPr>
          <w:rFonts w:ascii="Arial" w:hAnsi="Arial"/>
          <w:sz w:val="22"/>
          <w:lang w:val="en-CA"/>
        </w:rPr>
        <w:t>10-digit NPAs</w:t>
      </w:r>
      <w:r w:rsidR="00204A7D" w:rsidRPr="00F00180">
        <w:rPr>
          <w:rFonts w:ascii="Arial" w:hAnsi="Arial"/>
          <w:sz w:val="22"/>
          <w:lang w:val="en-CA"/>
        </w:rPr>
        <w:t xml:space="preserve"> in the 6YY pool</w:t>
      </w:r>
      <w:r w:rsidRPr="00F00180">
        <w:rPr>
          <w:rFonts w:ascii="Arial" w:hAnsi="Arial"/>
          <w:sz w:val="22"/>
          <w:lang w:val="en-CA"/>
        </w:rPr>
        <w:t xml:space="preserve"> becomes 7</w:t>
      </w:r>
      <w:r w:rsidR="00EA2242" w:rsidRPr="00F00180">
        <w:rPr>
          <w:rFonts w:ascii="Arial" w:hAnsi="Arial"/>
          <w:sz w:val="22"/>
          <w:lang w:val="en-CA"/>
        </w:rPr>
        <w:t xml:space="preserve"> NPAs – </w:t>
      </w:r>
      <w:r w:rsidRPr="00F00180">
        <w:rPr>
          <w:rFonts w:ascii="Arial" w:hAnsi="Arial"/>
          <w:sz w:val="22"/>
          <w:lang w:val="en-CA"/>
        </w:rPr>
        <w:t>2</w:t>
      </w:r>
      <w:r w:rsidR="00EA2242" w:rsidRPr="00F00180">
        <w:rPr>
          <w:rFonts w:ascii="Arial" w:hAnsi="Arial"/>
          <w:sz w:val="22"/>
          <w:lang w:val="en-CA"/>
        </w:rPr>
        <w:t xml:space="preserve"> NPAs </w:t>
      </w:r>
      <w:r w:rsidRPr="00F00180">
        <w:rPr>
          <w:rFonts w:ascii="Arial" w:hAnsi="Arial"/>
          <w:sz w:val="22"/>
          <w:lang w:val="en-CA"/>
        </w:rPr>
        <w:t>+</w:t>
      </w:r>
      <w:r w:rsidR="00E368FB" w:rsidRPr="00F00180">
        <w:rPr>
          <w:rFonts w:ascii="Arial" w:hAnsi="Arial"/>
          <w:sz w:val="22"/>
          <w:lang w:val="en-CA"/>
        </w:rPr>
        <w:t xml:space="preserve"> </w:t>
      </w:r>
      <w:r w:rsidR="00EA2242" w:rsidRPr="00F00180">
        <w:rPr>
          <w:rFonts w:ascii="Arial" w:hAnsi="Arial"/>
          <w:sz w:val="22"/>
          <w:lang w:val="en-CA"/>
        </w:rPr>
        <w:t xml:space="preserve">equivalent of </w:t>
      </w:r>
      <w:r w:rsidRPr="00F00180">
        <w:rPr>
          <w:rFonts w:ascii="Arial" w:hAnsi="Arial"/>
          <w:sz w:val="22"/>
          <w:lang w:val="en-CA"/>
        </w:rPr>
        <w:t xml:space="preserve">20 = </w:t>
      </w:r>
      <w:r w:rsidR="00EA2242" w:rsidRPr="00F00180">
        <w:rPr>
          <w:rFonts w:ascii="Arial" w:hAnsi="Arial"/>
          <w:sz w:val="22"/>
          <w:lang w:val="en-CA"/>
        </w:rPr>
        <w:t xml:space="preserve">equivalent of </w:t>
      </w:r>
      <w:r w:rsidR="00812737" w:rsidRPr="00F00180">
        <w:rPr>
          <w:rFonts w:ascii="Arial" w:hAnsi="Arial"/>
          <w:sz w:val="22"/>
          <w:lang w:val="en-CA"/>
        </w:rPr>
        <w:t>twenty-five</w:t>
      </w:r>
      <w:r w:rsidR="00143E45" w:rsidRPr="00F00180">
        <w:rPr>
          <w:rFonts w:ascii="Arial" w:hAnsi="Arial"/>
          <w:sz w:val="22"/>
          <w:lang w:val="en-CA"/>
        </w:rPr>
        <w:t xml:space="preserve"> </w:t>
      </w:r>
      <w:r w:rsidR="00143E45">
        <w:rPr>
          <w:rFonts w:ascii="Arial" w:hAnsi="Arial"/>
          <w:sz w:val="22"/>
          <w:lang w:val="en-CA"/>
        </w:rPr>
        <w:t>or more</w:t>
      </w:r>
      <w:r w:rsidRPr="00F57FC1">
        <w:rPr>
          <w:rFonts w:ascii="Arial" w:hAnsi="Arial"/>
          <w:sz w:val="22"/>
          <w:lang w:val="en-CA"/>
        </w:rPr>
        <w:t xml:space="preserve"> </w:t>
      </w:r>
      <w:r w:rsidR="00EA2242" w:rsidRPr="00F00180">
        <w:rPr>
          <w:rFonts w:ascii="Arial" w:hAnsi="Arial"/>
          <w:sz w:val="22"/>
          <w:lang w:val="en-CA"/>
        </w:rPr>
        <w:t xml:space="preserve">1+10-digit </w:t>
      </w:r>
      <w:r w:rsidRPr="00F00180">
        <w:rPr>
          <w:rFonts w:ascii="Arial" w:hAnsi="Arial"/>
          <w:sz w:val="22"/>
          <w:lang w:val="en-CA"/>
        </w:rPr>
        <w:t>NPAs.</w:t>
      </w:r>
    </w:p>
    <w:p w14:paraId="4FD8636D" w14:textId="7FACAAFE" w:rsidR="00160AB6" w:rsidRPr="00F00180" w:rsidRDefault="00116275" w:rsidP="001351F2">
      <w:pPr>
        <w:pStyle w:val="ListParagraph"/>
        <w:numPr>
          <w:ilvl w:val="0"/>
          <w:numId w:val="27"/>
        </w:numPr>
        <w:spacing w:after="120"/>
        <w:contextualSpacing w:val="0"/>
        <w:rPr>
          <w:rFonts w:ascii="Arial" w:hAnsi="Arial"/>
          <w:sz w:val="22"/>
          <w:lang w:val="en-CA"/>
        </w:rPr>
      </w:pPr>
      <w:r w:rsidRPr="00F00180">
        <w:rPr>
          <w:rFonts w:ascii="Arial" w:hAnsi="Arial"/>
          <w:sz w:val="22"/>
          <w:lang w:val="en-CA"/>
        </w:rPr>
        <w:t>“</w:t>
      </w:r>
      <w:r w:rsidR="005E67F2" w:rsidRPr="00F00180">
        <w:rPr>
          <w:rFonts w:ascii="Arial" w:hAnsi="Arial"/>
          <w:sz w:val="22"/>
          <w:lang w:val="en-CA"/>
        </w:rPr>
        <w:t xml:space="preserve">New </w:t>
      </w:r>
      <w:r w:rsidR="005152F7" w:rsidRPr="00F00180">
        <w:rPr>
          <w:rFonts w:ascii="Arial" w:hAnsi="Arial"/>
          <w:sz w:val="22"/>
          <w:lang w:val="en-CA"/>
        </w:rPr>
        <w:t>view</w:t>
      </w:r>
      <w:r w:rsidR="005E67F2" w:rsidRPr="00F00180">
        <w:rPr>
          <w:rFonts w:ascii="Arial" w:hAnsi="Arial"/>
          <w:sz w:val="22"/>
          <w:lang w:val="en-CA"/>
        </w:rPr>
        <w:t xml:space="preserve"> of </w:t>
      </w:r>
      <w:r w:rsidR="005152F7" w:rsidRPr="00F00180">
        <w:rPr>
          <w:rFonts w:ascii="Arial" w:hAnsi="Arial"/>
          <w:sz w:val="22"/>
          <w:lang w:val="en-CA"/>
        </w:rPr>
        <w:t xml:space="preserve">in-service </w:t>
      </w:r>
      <w:r w:rsidR="005E67F2" w:rsidRPr="00F00180">
        <w:rPr>
          <w:rFonts w:ascii="Arial" w:hAnsi="Arial"/>
          <w:sz w:val="22"/>
          <w:lang w:val="en-CA"/>
        </w:rPr>
        <w:t xml:space="preserve">NPAs” is the implementation estimates of the various NPAs resulting from </w:t>
      </w:r>
      <w:r w:rsidR="005152F7" w:rsidRPr="00F00180">
        <w:rPr>
          <w:rFonts w:ascii="Arial" w:hAnsi="Arial"/>
          <w:sz w:val="22"/>
          <w:lang w:val="en-CA"/>
        </w:rPr>
        <w:t xml:space="preserve">implementation of </w:t>
      </w:r>
      <w:r w:rsidR="005E67F2" w:rsidRPr="00F00180">
        <w:rPr>
          <w:rFonts w:ascii="Arial" w:hAnsi="Arial"/>
          <w:sz w:val="22"/>
          <w:lang w:val="en-CA"/>
        </w:rPr>
        <w:t xml:space="preserve">the interim and long-term measures described in this report. </w:t>
      </w:r>
      <w:r w:rsidR="005152F7" w:rsidRPr="00F00180">
        <w:rPr>
          <w:rFonts w:ascii="Arial" w:hAnsi="Arial"/>
          <w:sz w:val="22"/>
          <w:lang w:val="en-CA"/>
        </w:rPr>
        <w:t xml:space="preserve"> We note that there is some flexibility in the 2027+ time frame for the implementation of NPAs 677 and 688 to accommodate any changes in the NRUF.</w:t>
      </w:r>
    </w:p>
    <w:p w14:paraId="3B6B1DF8" w14:textId="77777777" w:rsidR="00160AB6" w:rsidRPr="00F00180" w:rsidRDefault="00160AB6" w:rsidP="001351F2">
      <w:pPr>
        <w:pStyle w:val="ListParagraph"/>
        <w:spacing w:after="120"/>
        <w:contextualSpacing w:val="0"/>
        <w:rPr>
          <w:rFonts w:ascii="Arial" w:hAnsi="Arial"/>
          <w:sz w:val="22"/>
          <w:lang w:val="en-CA"/>
        </w:rPr>
      </w:pPr>
    </w:p>
    <w:p w14:paraId="176996FA" w14:textId="784F8D49" w:rsidR="00F66ABC" w:rsidRPr="00F00180" w:rsidRDefault="005152F7" w:rsidP="001351F2">
      <w:pPr>
        <w:pStyle w:val="ListParagraph"/>
        <w:spacing w:after="120"/>
        <w:contextualSpacing w:val="0"/>
        <w:rPr>
          <w:lang w:val="en-CA"/>
        </w:rPr>
      </w:pPr>
      <w:r w:rsidRPr="00F00180">
        <w:rPr>
          <w:rFonts w:ascii="Arial" w:hAnsi="Arial"/>
          <w:sz w:val="22"/>
          <w:lang w:val="en-CA"/>
        </w:rPr>
        <w:t>Extrapolating the NRUF forecast out to 2044 and plotting this forecast and supply of non-geographic NPAs yields the following graph</w:t>
      </w:r>
      <w:r w:rsidR="006A3594" w:rsidRPr="00F00180">
        <w:rPr>
          <w:rFonts w:ascii="Arial" w:hAnsi="Arial"/>
          <w:sz w:val="22"/>
          <w:lang w:val="en-CA"/>
        </w:rPr>
        <w:t xml:space="preserve"> (see figure 6)</w:t>
      </w:r>
      <w:r w:rsidR="004067AC" w:rsidRPr="00F00180">
        <w:rPr>
          <w:rFonts w:ascii="Arial" w:hAnsi="Arial"/>
          <w:sz w:val="22"/>
          <w:lang w:val="en-CA"/>
        </w:rPr>
        <w:t xml:space="preserve">. </w:t>
      </w:r>
      <w:r w:rsidR="00E2563C" w:rsidRPr="00F00180">
        <w:rPr>
          <w:rFonts w:ascii="Arial" w:hAnsi="Arial"/>
          <w:sz w:val="22"/>
          <w:lang w:val="en-CA"/>
        </w:rPr>
        <w:t xml:space="preserve">The </w:t>
      </w:r>
      <w:r w:rsidR="009F3298" w:rsidRPr="00F00180">
        <w:rPr>
          <w:rFonts w:ascii="Arial" w:hAnsi="Arial"/>
          <w:sz w:val="22"/>
          <w:lang w:val="en-CA"/>
        </w:rPr>
        <w:t xml:space="preserve">blue curve is the </w:t>
      </w:r>
      <w:r w:rsidR="00F50B38" w:rsidRPr="00F00180">
        <w:rPr>
          <w:rFonts w:ascii="Arial" w:hAnsi="Arial"/>
          <w:sz w:val="22"/>
          <w:lang w:val="en-CA"/>
        </w:rPr>
        <w:t xml:space="preserve">extrapolated </w:t>
      </w:r>
      <w:r w:rsidR="009F3298" w:rsidRPr="00F00180">
        <w:rPr>
          <w:rFonts w:ascii="Arial" w:hAnsi="Arial"/>
          <w:sz w:val="22"/>
          <w:lang w:val="en-CA"/>
        </w:rPr>
        <w:t xml:space="preserve">NRUF, the orange line </w:t>
      </w:r>
      <w:r w:rsidR="00F50B38" w:rsidRPr="00F00180">
        <w:rPr>
          <w:rFonts w:ascii="Arial" w:hAnsi="Arial"/>
          <w:sz w:val="22"/>
          <w:lang w:val="en-CA"/>
        </w:rPr>
        <w:t xml:space="preserve">is </w:t>
      </w:r>
      <w:r w:rsidR="009F3298" w:rsidRPr="00F00180">
        <w:rPr>
          <w:rFonts w:ascii="Arial" w:hAnsi="Arial"/>
          <w:sz w:val="22"/>
          <w:lang w:val="en-CA"/>
        </w:rPr>
        <w:t xml:space="preserve">the current pool of </w:t>
      </w:r>
      <w:r w:rsidR="00F50B38" w:rsidRPr="00F00180">
        <w:rPr>
          <w:rFonts w:ascii="Arial" w:hAnsi="Arial"/>
          <w:sz w:val="22"/>
          <w:lang w:val="en-CA"/>
        </w:rPr>
        <w:t xml:space="preserve">six </w:t>
      </w:r>
      <w:r w:rsidR="009F3298" w:rsidRPr="00F00180">
        <w:rPr>
          <w:rFonts w:ascii="Arial" w:hAnsi="Arial"/>
          <w:sz w:val="22"/>
          <w:lang w:val="en-CA"/>
        </w:rPr>
        <w:t xml:space="preserve">6YY NPAs and the grey curve </w:t>
      </w:r>
      <w:r w:rsidR="00F72C89" w:rsidRPr="00F00180">
        <w:rPr>
          <w:rFonts w:ascii="Arial" w:hAnsi="Arial"/>
          <w:sz w:val="22"/>
          <w:lang w:val="en-CA"/>
        </w:rPr>
        <w:t xml:space="preserve">reflects the </w:t>
      </w:r>
      <w:r w:rsidR="000B3CAB">
        <w:rPr>
          <w:rFonts w:ascii="Arial" w:hAnsi="Arial" w:cs="Arial"/>
          <w:sz w:val="22"/>
          <w:szCs w:val="22"/>
        </w:rPr>
        <w:t xml:space="preserve">expanded pool assuming </w:t>
      </w:r>
      <w:r w:rsidR="00F72C89" w:rsidRPr="00F00180">
        <w:rPr>
          <w:rFonts w:ascii="Arial" w:hAnsi="Arial"/>
          <w:sz w:val="22"/>
          <w:lang w:val="en-CA"/>
        </w:rPr>
        <w:t xml:space="preserve">implementation of Options 4, 5 and Option </w:t>
      </w:r>
      <w:r w:rsidR="00F72C89" w:rsidRPr="00F57FC1">
        <w:rPr>
          <w:rFonts w:ascii="Arial" w:hAnsi="Arial"/>
          <w:sz w:val="22"/>
          <w:lang w:val="en-CA"/>
        </w:rPr>
        <w:t>7</w:t>
      </w:r>
      <w:r w:rsidR="00F72C89" w:rsidRPr="00F00180">
        <w:rPr>
          <w:rFonts w:ascii="Arial" w:hAnsi="Arial"/>
          <w:sz w:val="22"/>
          <w:lang w:val="en-CA"/>
        </w:rPr>
        <w:t xml:space="preserve"> for 2</w:t>
      </w:r>
      <w:r w:rsidR="00F72C89" w:rsidRPr="00F57FC1">
        <w:rPr>
          <w:rFonts w:ascii="Arial" w:hAnsi="Arial"/>
          <w:sz w:val="22"/>
          <w:lang w:val="en-CA"/>
        </w:rPr>
        <w:t xml:space="preserve"> NPAs</w:t>
      </w:r>
      <w:r w:rsidR="00865A4F">
        <w:rPr>
          <w:rFonts w:ascii="Arial" w:hAnsi="Arial"/>
          <w:sz w:val="22"/>
          <w:lang w:val="en-CA"/>
        </w:rPr>
        <w:t xml:space="preserve"> (which would bring the </w:t>
      </w:r>
      <w:proofErr w:type="gramStart"/>
      <w:r w:rsidR="00865A4F">
        <w:rPr>
          <w:rFonts w:ascii="Arial" w:hAnsi="Arial"/>
          <w:sz w:val="22"/>
          <w:lang w:val="en-CA"/>
        </w:rPr>
        <w:t>Non-Geographic</w:t>
      </w:r>
      <w:proofErr w:type="gramEnd"/>
      <w:r w:rsidR="00865A4F">
        <w:rPr>
          <w:rFonts w:ascii="Arial" w:hAnsi="Arial"/>
          <w:sz w:val="22"/>
          <w:lang w:val="en-CA"/>
        </w:rPr>
        <w:t xml:space="preserve"> pool size to 25 or more</w:t>
      </w:r>
      <w:r w:rsidR="00865A4F" w:rsidRPr="00F00180">
        <w:rPr>
          <w:rFonts w:ascii="Arial" w:hAnsi="Arial"/>
          <w:sz w:val="22"/>
          <w:lang w:val="en-CA"/>
        </w:rPr>
        <w:t xml:space="preserve"> NPAs</w:t>
      </w:r>
      <w:r w:rsidR="00F72C89" w:rsidRPr="00F00180">
        <w:rPr>
          <w:rFonts w:ascii="Arial" w:hAnsi="Arial"/>
          <w:sz w:val="22"/>
          <w:lang w:val="en-CA"/>
        </w:rPr>
        <w:t>.</w:t>
      </w:r>
      <w:r w:rsidR="00CC3CB7" w:rsidRPr="00F00180">
        <w:rPr>
          <w:rFonts w:ascii="Arial" w:hAnsi="Arial"/>
          <w:sz w:val="22"/>
          <w:lang w:val="en-CA"/>
        </w:rPr>
        <w:t xml:space="preserve"> </w:t>
      </w:r>
    </w:p>
    <w:p w14:paraId="48D1AD2B" w14:textId="7B536042" w:rsidR="00F66ABC" w:rsidRDefault="00F66ABC" w:rsidP="001351F2">
      <w:pPr>
        <w:rPr>
          <w:rFonts w:ascii="Arial" w:hAnsi="Arial" w:cs="Arial"/>
          <w:b/>
          <w:bCs/>
        </w:rPr>
      </w:pPr>
    </w:p>
    <w:p w14:paraId="2EED14E0" w14:textId="5547AA9B" w:rsidR="00BE490E" w:rsidRPr="00F00180" w:rsidRDefault="00BE490E" w:rsidP="001351F2">
      <w:pPr>
        <w:pStyle w:val="Caption"/>
        <w:keepNext/>
        <w:rPr>
          <w:sz w:val="24"/>
        </w:rPr>
      </w:pPr>
      <w:bookmarkStart w:id="75" w:name="_Toc156385635"/>
      <w:bookmarkStart w:id="76" w:name="_Toc162946421"/>
      <w:r w:rsidRPr="00F00180">
        <w:rPr>
          <w:b/>
          <w:sz w:val="24"/>
        </w:rPr>
        <w:lastRenderedPageBreak/>
        <w:t xml:space="preserve">Figure </w:t>
      </w:r>
      <w:r w:rsidR="00262139" w:rsidRPr="00F00180">
        <w:rPr>
          <w:b/>
          <w:sz w:val="24"/>
        </w:rPr>
        <w:fldChar w:fldCharType="begin"/>
      </w:r>
      <w:r w:rsidR="00262139" w:rsidRPr="00F00180">
        <w:rPr>
          <w:b/>
          <w:sz w:val="24"/>
        </w:rPr>
        <w:instrText xml:space="preserve"> SEQ Figure \* ARABIC </w:instrText>
      </w:r>
      <w:r w:rsidR="00262139" w:rsidRPr="00F00180">
        <w:rPr>
          <w:b/>
          <w:sz w:val="24"/>
        </w:rPr>
        <w:fldChar w:fldCharType="separate"/>
      </w:r>
      <w:r w:rsidR="00924761" w:rsidRPr="00F00180">
        <w:rPr>
          <w:b/>
          <w:sz w:val="24"/>
        </w:rPr>
        <w:t>6</w:t>
      </w:r>
      <w:r w:rsidR="00262139" w:rsidRPr="00F00180">
        <w:rPr>
          <w:b/>
          <w:sz w:val="24"/>
        </w:rPr>
        <w:fldChar w:fldCharType="end"/>
      </w:r>
      <w:r w:rsidRPr="00F00180">
        <w:rPr>
          <w:b/>
          <w:sz w:val="24"/>
        </w:rPr>
        <w:t>:</w:t>
      </w:r>
      <w:r w:rsidRPr="00F00180">
        <w:rPr>
          <w:sz w:val="24"/>
        </w:rPr>
        <w:t xml:space="preserve"> Graph of Extrapolated Demand and Supply</w:t>
      </w:r>
      <w:bookmarkEnd w:id="75"/>
      <w:bookmarkEnd w:id="76"/>
    </w:p>
    <w:p w14:paraId="5846AF70" w14:textId="77777777" w:rsidR="005152F7" w:rsidRPr="00D64C63" w:rsidRDefault="00F50B38" w:rsidP="001351F2">
      <w:pPr>
        <w:rPr>
          <w:rFonts w:ascii="Arial" w:hAnsi="Arial"/>
        </w:rPr>
      </w:pPr>
      <w:r>
        <w:rPr>
          <w:noProof/>
          <w:lang w:val="en-US"/>
        </w:rPr>
        <w:drawing>
          <wp:inline distT="0" distB="0" distL="0" distR="0" wp14:anchorId="55A8D6EE" wp14:editId="15FB67E5">
            <wp:extent cx="8370277" cy="4304714"/>
            <wp:effectExtent l="0" t="0" r="12065" b="635"/>
            <wp:docPr id="1652564211" name="Chart 1">
              <a:extLst xmlns:a="http://schemas.openxmlformats.org/drawingml/2006/main">
                <a:ext uri="{FF2B5EF4-FFF2-40B4-BE49-F238E27FC236}">
                  <a16:creationId xmlns:a16="http://schemas.microsoft.com/office/drawing/2014/main" id="{B3BE7F55-D9A5-9A1E-249F-C25AF8C337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AC54244" w14:textId="77777777" w:rsidR="004D2EA7" w:rsidRDefault="005152F7" w:rsidP="001351F2">
      <w:pPr>
        <w:rPr>
          <w:rFonts w:ascii="Arial" w:hAnsi="Arial" w:cs="Arial"/>
        </w:rPr>
      </w:pPr>
      <w:r>
        <w:rPr>
          <w:rFonts w:ascii="Arial" w:hAnsi="Arial" w:cs="Arial"/>
        </w:rPr>
        <w:t xml:space="preserve"> </w:t>
      </w:r>
    </w:p>
    <w:p w14:paraId="537CFA59" w14:textId="77777777" w:rsidR="00635ABB" w:rsidRDefault="00635ABB" w:rsidP="001351F2">
      <w:pPr>
        <w:rPr>
          <w:rFonts w:ascii="Arial" w:hAnsi="Arial" w:cs="Arial"/>
        </w:rPr>
        <w:sectPr w:rsidR="00635ABB" w:rsidSect="00E66668">
          <w:pgSz w:w="15840" w:h="12240" w:orient="landscape"/>
          <w:pgMar w:top="1440" w:right="1440" w:bottom="1440" w:left="1440" w:header="708" w:footer="708" w:gutter="0"/>
          <w:cols w:space="708"/>
          <w:titlePg/>
          <w:docGrid w:linePitch="360"/>
        </w:sectPr>
      </w:pPr>
    </w:p>
    <w:p w14:paraId="67103783" w14:textId="77777777" w:rsidR="00730D8A" w:rsidRDefault="00730D8A" w:rsidP="001351F2">
      <w:pPr>
        <w:pStyle w:val="Heading1"/>
        <w:numPr>
          <w:ilvl w:val="0"/>
          <w:numId w:val="10"/>
        </w:numPr>
        <w:rPr>
          <w:rFonts w:ascii="Arial" w:hAnsi="Arial" w:cs="Arial"/>
        </w:rPr>
      </w:pPr>
      <w:bookmarkStart w:id="77" w:name="_Toc159488434"/>
      <w:bookmarkStart w:id="78" w:name="_Toc159488435"/>
      <w:bookmarkStart w:id="79" w:name="_Toc156387054"/>
      <w:bookmarkStart w:id="80" w:name="_Toc162946409"/>
      <w:bookmarkEnd w:id="15"/>
      <w:bookmarkEnd w:id="77"/>
      <w:bookmarkEnd w:id="78"/>
      <w:r>
        <w:rPr>
          <w:rFonts w:ascii="Arial" w:hAnsi="Arial" w:cs="Arial"/>
        </w:rPr>
        <w:lastRenderedPageBreak/>
        <w:t>Conclusions</w:t>
      </w:r>
      <w:bookmarkEnd w:id="79"/>
      <w:bookmarkEnd w:id="80"/>
    </w:p>
    <w:p w14:paraId="742E7EF8" w14:textId="41CB97FF" w:rsidR="00646EEC" w:rsidRDefault="00730D8A" w:rsidP="001351F2">
      <w:pPr>
        <w:ind w:left="432"/>
        <w:rPr>
          <w:rFonts w:ascii="Arial" w:hAnsi="Arial" w:cs="Arial"/>
        </w:rPr>
      </w:pPr>
      <w:r>
        <w:rPr>
          <w:rFonts w:ascii="Arial" w:hAnsi="Arial" w:cs="Arial"/>
        </w:rPr>
        <w:br/>
      </w:r>
      <w:r w:rsidRPr="00646EEC">
        <w:rPr>
          <w:rFonts w:ascii="Arial" w:hAnsi="Arial" w:cs="Arial"/>
        </w:rPr>
        <w:t xml:space="preserve">The CSCN </w:t>
      </w:r>
      <w:r>
        <w:rPr>
          <w:rFonts w:ascii="Arial" w:hAnsi="Arial" w:cs="Arial"/>
        </w:rPr>
        <w:t xml:space="preserve">concludes </w:t>
      </w:r>
      <w:r w:rsidR="00A85DEF">
        <w:rPr>
          <w:rFonts w:ascii="Arial" w:hAnsi="Arial" w:cs="Arial"/>
        </w:rPr>
        <w:t>t</w:t>
      </w:r>
      <w:r w:rsidRPr="00A85DEF">
        <w:rPr>
          <w:rFonts w:ascii="Arial" w:hAnsi="Arial" w:cs="Arial"/>
        </w:rPr>
        <w:t>hat IoT/M2M services are growing at a significant rate</w:t>
      </w:r>
      <w:r w:rsidR="00D10E8A" w:rsidRPr="00A85DEF">
        <w:rPr>
          <w:rFonts w:ascii="Arial" w:hAnsi="Arial" w:cs="Arial"/>
        </w:rPr>
        <w:t xml:space="preserve"> that will exceed current supply</w:t>
      </w:r>
      <w:r w:rsidR="00A85DEF">
        <w:rPr>
          <w:rFonts w:ascii="Arial" w:hAnsi="Arial" w:cs="Arial"/>
        </w:rPr>
        <w:t>. The supply of n</w:t>
      </w:r>
      <w:r w:rsidR="0005595A">
        <w:rPr>
          <w:rFonts w:ascii="Arial" w:hAnsi="Arial" w:cs="Arial"/>
        </w:rPr>
        <w:t xml:space="preserve">on-geographic </w:t>
      </w:r>
      <w:r w:rsidR="00A85DEF">
        <w:rPr>
          <w:rFonts w:ascii="Arial" w:hAnsi="Arial" w:cs="Arial"/>
        </w:rPr>
        <w:t>TNs</w:t>
      </w:r>
      <w:r>
        <w:rPr>
          <w:rFonts w:ascii="Arial" w:hAnsi="Arial" w:cs="Arial"/>
        </w:rPr>
        <w:t xml:space="preserve"> must be </w:t>
      </w:r>
      <w:r w:rsidR="00A85DEF">
        <w:rPr>
          <w:rFonts w:ascii="Arial" w:hAnsi="Arial" w:cs="Arial"/>
        </w:rPr>
        <w:t>increased</w:t>
      </w:r>
      <w:r>
        <w:rPr>
          <w:rFonts w:ascii="Arial" w:hAnsi="Arial" w:cs="Arial"/>
        </w:rPr>
        <w:t xml:space="preserve"> to meet this </w:t>
      </w:r>
      <w:r w:rsidR="0005595A">
        <w:rPr>
          <w:rFonts w:ascii="Arial" w:hAnsi="Arial" w:cs="Arial"/>
        </w:rPr>
        <w:t>demand</w:t>
      </w:r>
      <w:r w:rsidR="006F119A">
        <w:rPr>
          <w:rFonts w:ascii="Arial" w:hAnsi="Arial" w:cs="Arial"/>
        </w:rPr>
        <w:t xml:space="preserve"> for IoT/M2M network addresses</w:t>
      </w:r>
      <w:r w:rsidR="0005595A">
        <w:rPr>
          <w:rFonts w:ascii="Arial" w:hAnsi="Arial" w:cs="Arial"/>
        </w:rPr>
        <w:t>.</w:t>
      </w:r>
      <w:r w:rsidR="00635ABB">
        <w:rPr>
          <w:rFonts w:ascii="Arial" w:hAnsi="Arial" w:cs="Arial"/>
        </w:rPr>
        <w:t xml:space="preserve">  </w:t>
      </w:r>
      <w:r w:rsidR="0005595A">
        <w:rPr>
          <w:rFonts w:ascii="Arial" w:hAnsi="Arial" w:cs="Arial"/>
        </w:rPr>
        <w:br/>
      </w:r>
    </w:p>
    <w:p w14:paraId="36C9DCE4" w14:textId="77777777" w:rsidR="00730D8A" w:rsidRPr="00646EEC" w:rsidRDefault="0005595A" w:rsidP="001351F2">
      <w:pPr>
        <w:ind w:left="432"/>
        <w:rPr>
          <w:rFonts w:ascii="Arial" w:hAnsi="Arial" w:cs="Arial"/>
        </w:rPr>
      </w:pPr>
      <w:r w:rsidRPr="00646EEC">
        <w:rPr>
          <w:rFonts w:ascii="Arial" w:hAnsi="Arial" w:cs="Arial"/>
        </w:rPr>
        <w:t xml:space="preserve">NANPE </w:t>
      </w:r>
      <w:r w:rsidR="00646EEC">
        <w:rPr>
          <w:rFonts w:ascii="Arial" w:hAnsi="Arial" w:cs="Arial"/>
        </w:rPr>
        <w:t xml:space="preserve">should </w:t>
      </w:r>
      <w:r w:rsidRPr="00646EEC">
        <w:rPr>
          <w:rFonts w:ascii="Arial" w:hAnsi="Arial" w:cs="Arial"/>
        </w:rPr>
        <w:t xml:space="preserve">be </w:t>
      </w:r>
      <w:r w:rsidR="00646EEC">
        <w:rPr>
          <w:rFonts w:ascii="Arial" w:hAnsi="Arial" w:cs="Arial"/>
        </w:rPr>
        <w:t>considered</w:t>
      </w:r>
      <w:r w:rsidRPr="00646EEC">
        <w:rPr>
          <w:rFonts w:ascii="Arial" w:hAnsi="Arial" w:cs="Arial"/>
        </w:rPr>
        <w:t xml:space="preserve"> and accommodated in</w:t>
      </w:r>
      <w:r w:rsidR="00504D71" w:rsidRPr="00646EEC">
        <w:rPr>
          <w:rFonts w:ascii="Arial" w:hAnsi="Arial" w:cs="Arial"/>
        </w:rPr>
        <w:t xml:space="preserve"> ongoing </w:t>
      </w:r>
      <w:r w:rsidRPr="00646EEC">
        <w:rPr>
          <w:rFonts w:ascii="Arial" w:hAnsi="Arial" w:cs="Arial"/>
        </w:rPr>
        <w:t xml:space="preserve">CSCN </w:t>
      </w:r>
      <w:r w:rsidR="006F119A" w:rsidRPr="00646EEC">
        <w:rPr>
          <w:rFonts w:ascii="Arial" w:hAnsi="Arial" w:cs="Arial"/>
        </w:rPr>
        <w:t>analysis</w:t>
      </w:r>
      <w:r w:rsidRPr="00646EEC">
        <w:rPr>
          <w:rFonts w:ascii="Arial" w:hAnsi="Arial" w:cs="Arial"/>
        </w:rPr>
        <w:t>.</w:t>
      </w:r>
      <w:r w:rsidRPr="00646EEC">
        <w:rPr>
          <w:rFonts w:ascii="Arial" w:hAnsi="Arial" w:cs="Arial"/>
        </w:rPr>
        <w:br/>
      </w:r>
    </w:p>
    <w:p w14:paraId="792BE6C6" w14:textId="440AC4B9" w:rsidR="00F66ABC" w:rsidRDefault="00C0139A" w:rsidP="001351F2">
      <w:pPr>
        <w:pStyle w:val="Heading1"/>
        <w:numPr>
          <w:ilvl w:val="0"/>
          <w:numId w:val="10"/>
        </w:numPr>
        <w:rPr>
          <w:rFonts w:ascii="Arial" w:hAnsi="Arial" w:cs="Arial"/>
        </w:rPr>
      </w:pPr>
      <w:bookmarkStart w:id="81" w:name="_Toc156387055"/>
      <w:bookmarkStart w:id="82" w:name="_Toc162946410"/>
      <w:r>
        <w:rPr>
          <w:rFonts w:ascii="Arial" w:hAnsi="Arial" w:cs="Arial"/>
        </w:rPr>
        <w:t>Recommendations</w:t>
      </w:r>
      <w:bookmarkEnd w:id="81"/>
      <w:bookmarkEnd w:id="82"/>
    </w:p>
    <w:p w14:paraId="244132DE" w14:textId="77777777" w:rsidR="006C1F41" w:rsidRPr="00605ACE" w:rsidRDefault="006C1F41" w:rsidP="001351F2"/>
    <w:p w14:paraId="2EC1D543" w14:textId="0CCC0B16" w:rsidR="003948CF" w:rsidRPr="003948CF" w:rsidRDefault="003948CF" w:rsidP="003948CF">
      <w:pPr>
        <w:ind w:left="360"/>
        <w:rPr>
          <w:rFonts w:ascii="Arial" w:hAnsi="Arial" w:cs="Arial"/>
          <w:lang w:val="en-US"/>
        </w:rPr>
      </w:pPr>
      <w:r w:rsidRPr="003948CF">
        <w:rPr>
          <w:rFonts w:ascii="Arial" w:hAnsi="Arial" w:cs="Arial"/>
          <w:lang w:val="en-US"/>
        </w:rPr>
        <w:t xml:space="preserve">In consideration of all the above, the </w:t>
      </w:r>
      <w:r w:rsidRPr="00F00180">
        <w:rPr>
          <w:rFonts w:ascii="Arial" w:hAnsi="Arial"/>
          <w:lang w:val="en-US"/>
        </w:rPr>
        <w:t xml:space="preserve">CSCN </w:t>
      </w:r>
      <w:r w:rsidRPr="003948CF">
        <w:rPr>
          <w:rFonts w:ascii="Arial" w:hAnsi="Arial" w:cs="Arial"/>
          <w:lang w:val="en-US"/>
        </w:rPr>
        <w:t>recommends</w:t>
      </w:r>
      <w:r w:rsidRPr="00F00180">
        <w:rPr>
          <w:rFonts w:ascii="Arial" w:hAnsi="Arial"/>
          <w:lang w:val="en-US"/>
        </w:rPr>
        <w:t xml:space="preserve"> that the CRTC </w:t>
      </w:r>
      <w:r w:rsidRPr="003948CF">
        <w:rPr>
          <w:rFonts w:ascii="Arial" w:hAnsi="Arial" w:cs="Arial"/>
          <w:lang w:val="en-US"/>
        </w:rPr>
        <w:t>direct the CNA to:</w:t>
      </w:r>
    </w:p>
    <w:p w14:paraId="5D1F3871" w14:textId="77777777" w:rsidR="003948CF" w:rsidRPr="003948CF" w:rsidRDefault="003948CF" w:rsidP="002F0712">
      <w:pPr>
        <w:numPr>
          <w:ilvl w:val="0"/>
          <w:numId w:val="52"/>
        </w:numPr>
        <w:rPr>
          <w:rFonts w:ascii="Arial" w:hAnsi="Arial" w:cs="Arial"/>
          <w:lang w:val="en-US"/>
        </w:rPr>
      </w:pPr>
      <w:r w:rsidRPr="003948CF">
        <w:rPr>
          <w:rFonts w:ascii="Arial" w:hAnsi="Arial" w:cs="Arial"/>
          <w:lang w:val="en-US"/>
        </w:rPr>
        <w:t xml:space="preserve">allocate 768 NXX codes in NPA 600 as non-geographic within 6 months of the CRTC’s </w:t>
      </w:r>
      <w:proofErr w:type="gramStart"/>
      <w:r w:rsidRPr="003948CF">
        <w:rPr>
          <w:rFonts w:ascii="Arial" w:hAnsi="Arial" w:cs="Arial"/>
          <w:lang w:val="en-US"/>
        </w:rPr>
        <w:t>directive;</w:t>
      </w:r>
      <w:proofErr w:type="gramEnd"/>
      <w:r w:rsidRPr="003948CF">
        <w:rPr>
          <w:rFonts w:ascii="Arial" w:hAnsi="Arial" w:cs="Arial"/>
          <w:lang w:val="en-US"/>
        </w:rPr>
        <w:t xml:space="preserve"> </w:t>
      </w:r>
    </w:p>
    <w:p w14:paraId="11C51D5F" w14:textId="4CA1A3A3" w:rsidR="003948CF" w:rsidRPr="003948CF" w:rsidRDefault="003948CF" w:rsidP="002F0712">
      <w:pPr>
        <w:numPr>
          <w:ilvl w:val="0"/>
          <w:numId w:val="53"/>
        </w:numPr>
        <w:rPr>
          <w:rFonts w:ascii="Arial" w:hAnsi="Arial" w:cs="Arial"/>
          <w:lang w:val="en-US"/>
        </w:rPr>
      </w:pPr>
      <w:r w:rsidRPr="003948CF">
        <w:rPr>
          <w:rFonts w:ascii="Arial" w:hAnsi="Arial" w:cs="Arial"/>
          <w:lang w:val="en-US"/>
        </w:rPr>
        <w:t xml:space="preserve">eliminate the restriction on the assignment of NXXs 211, 311, 411, 511, 555, 611, 711 </w:t>
      </w:r>
      <w:r w:rsidRPr="00F00180">
        <w:rPr>
          <w:rFonts w:ascii="Arial" w:hAnsi="Arial"/>
          <w:lang w:val="en-US"/>
        </w:rPr>
        <w:t xml:space="preserve">and </w:t>
      </w:r>
      <w:r w:rsidRPr="003948CF">
        <w:rPr>
          <w:rFonts w:ascii="Arial" w:hAnsi="Arial" w:cs="Arial"/>
          <w:lang w:val="en-US"/>
        </w:rPr>
        <w:t>811 in all non-geographic NPAs within 6 months of the CRTC’s directive;</w:t>
      </w:r>
      <w:r w:rsidR="000B3C5C">
        <w:rPr>
          <w:rFonts w:ascii="Arial" w:hAnsi="Arial" w:cs="Arial"/>
          <w:lang w:val="en-US"/>
        </w:rPr>
        <w:t xml:space="preserve"> and</w:t>
      </w:r>
    </w:p>
    <w:p w14:paraId="52048294" w14:textId="03A1DC4D" w:rsidR="003948CF" w:rsidRPr="003948CF" w:rsidRDefault="000B3C5C" w:rsidP="002F0712">
      <w:pPr>
        <w:numPr>
          <w:ilvl w:val="0"/>
          <w:numId w:val="53"/>
        </w:numPr>
        <w:rPr>
          <w:rFonts w:ascii="Arial" w:hAnsi="Arial" w:cs="Arial"/>
          <w:lang w:val="en-US"/>
        </w:rPr>
      </w:pPr>
      <w:r>
        <w:rPr>
          <w:rFonts w:ascii="Arial" w:hAnsi="Arial" w:cs="Arial"/>
          <w:lang w:val="en-US"/>
        </w:rPr>
        <w:t>reserve NPA</w:t>
      </w:r>
      <w:r w:rsidR="005A4557">
        <w:rPr>
          <w:rFonts w:ascii="Arial" w:hAnsi="Arial" w:cs="Arial"/>
          <w:lang w:val="en-US"/>
        </w:rPr>
        <w:t>s</w:t>
      </w:r>
      <w:r>
        <w:rPr>
          <w:rFonts w:ascii="Arial" w:hAnsi="Arial" w:cs="Arial"/>
          <w:lang w:val="en-US"/>
        </w:rPr>
        <w:t xml:space="preserve"> 677 and 688 for extended digit format.</w:t>
      </w:r>
      <w:r w:rsidR="003948CF" w:rsidRPr="003948CF">
        <w:rPr>
          <w:rFonts w:ascii="Arial" w:hAnsi="Arial" w:cs="Arial"/>
          <w:lang w:val="en-US"/>
        </w:rPr>
        <w:t xml:space="preserve"> </w:t>
      </w:r>
    </w:p>
    <w:p w14:paraId="4B584A1B" w14:textId="78CAB577" w:rsidR="00A8444C" w:rsidRPr="00F00180" w:rsidRDefault="003948CF" w:rsidP="00CE26FB">
      <w:pPr>
        <w:ind w:left="360"/>
        <w:rPr>
          <w:rFonts w:ascii="Arial" w:hAnsi="Arial"/>
          <w:lang w:val="en-US"/>
        </w:rPr>
      </w:pPr>
      <w:r w:rsidRPr="003948CF">
        <w:rPr>
          <w:rFonts w:ascii="Arial" w:hAnsi="Arial" w:cs="Arial"/>
          <w:lang w:val="en-US"/>
        </w:rPr>
        <w:t>In addition, it is recommended that the CRTC request that the CSCN</w:t>
      </w:r>
      <w:r w:rsidR="00CE26FB">
        <w:rPr>
          <w:rFonts w:ascii="Arial" w:hAnsi="Arial" w:cs="Arial"/>
          <w:lang w:val="en-US"/>
        </w:rPr>
        <w:t xml:space="preserve"> </w:t>
      </w:r>
      <w:r w:rsidRPr="003948CF">
        <w:rPr>
          <w:rFonts w:ascii="Arial" w:hAnsi="Arial" w:cs="Arial"/>
          <w:lang w:val="en-US"/>
        </w:rPr>
        <w:t>amend</w:t>
      </w:r>
      <w:r w:rsidRPr="00F00180">
        <w:rPr>
          <w:rFonts w:ascii="Arial" w:hAnsi="Arial"/>
          <w:lang w:val="en-US"/>
        </w:rPr>
        <w:t xml:space="preserve"> the </w:t>
      </w:r>
      <w:r w:rsidR="007E4415" w:rsidRPr="00F00180">
        <w:rPr>
          <w:rFonts w:ascii="Arial" w:hAnsi="Arial"/>
          <w:lang w:val="en-US"/>
        </w:rPr>
        <w:t xml:space="preserve">following </w:t>
      </w:r>
      <w:r w:rsidR="00A8444C">
        <w:rPr>
          <w:rFonts w:ascii="Arial" w:hAnsi="Arial" w:cs="Arial"/>
          <w:lang w:val="en-US"/>
        </w:rPr>
        <w:t xml:space="preserve">guidelines as required </w:t>
      </w:r>
      <w:r w:rsidRPr="003948CF">
        <w:rPr>
          <w:rFonts w:ascii="Arial" w:hAnsi="Arial" w:cs="Arial"/>
          <w:lang w:val="en-US"/>
        </w:rPr>
        <w:t xml:space="preserve">to reflect (1) the allocation of 768 NXX codes in NPA 600 as non-geographic and (2) the elimination of restrictions on the assignment of NXXs 211, 311, 411, 511, 555, 611, 711 and 811 in all non-geographic NPAs </w:t>
      </w:r>
      <w:r w:rsidRPr="00774977">
        <w:rPr>
          <w:rFonts w:ascii="Arial" w:hAnsi="Arial" w:cs="Arial"/>
          <w:lang w:val="en-US"/>
        </w:rPr>
        <w:t>within 6 months of the CRTC’s directive</w:t>
      </w:r>
      <w:r w:rsidR="00A8444C" w:rsidRPr="00774977">
        <w:rPr>
          <w:rFonts w:ascii="Arial" w:hAnsi="Arial" w:cs="Arial"/>
          <w:lang w:val="en-US"/>
        </w:rPr>
        <w:t>:</w:t>
      </w:r>
    </w:p>
    <w:p w14:paraId="1EE5A8E2" w14:textId="77777777" w:rsidR="00774977" w:rsidRPr="004950ED" w:rsidRDefault="00A8444C" w:rsidP="00774977">
      <w:pPr>
        <w:pStyle w:val="ListParagraph"/>
        <w:numPr>
          <w:ilvl w:val="0"/>
          <w:numId w:val="54"/>
        </w:numPr>
        <w:rPr>
          <w:rFonts w:ascii="Arial" w:hAnsi="Arial" w:cs="Arial"/>
          <w:sz w:val="22"/>
          <w:szCs w:val="22"/>
        </w:rPr>
      </w:pPr>
      <w:r w:rsidRPr="004950ED">
        <w:rPr>
          <w:rFonts w:ascii="Arial" w:hAnsi="Arial" w:cs="Arial"/>
          <w:sz w:val="22"/>
          <w:szCs w:val="22"/>
        </w:rPr>
        <w:t xml:space="preserve">Central Office Code (NXX) Assignment </w:t>
      </w:r>
      <w:proofErr w:type="gramStart"/>
      <w:r w:rsidRPr="004950ED">
        <w:rPr>
          <w:rFonts w:ascii="Arial" w:hAnsi="Arial" w:cs="Arial"/>
          <w:sz w:val="22"/>
          <w:szCs w:val="22"/>
        </w:rPr>
        <w:t>Guideline</w:t>
      </w:r>
      <w:r w:rsidR="00774977" w:rsidRPr="004950ED">
        <w:rPr>
          <w:rFonts w:ascii="Arial" w:hAnsi="Arial" w:cs="Arial"/>
          <w:sz w:val="22"/>
          <w:szCs w:val="22"/>
        </w:rPr>
        <w:t>;</w:t>
      </w:r>
      <w:proofErr w:type="gramEnd"/>
    </w:p>
    <w:p w14:paraId="20D4948D" w14:textId="530A718A" w:rsidR="00774977" w:rsidRPr="004950ED" w:rsidRDefault="00A8444C" w:rsidP="00611FCF">
      <w:pPr>
        <w:pStyle w:val="ListParagraph"/>
        <w:numPr>
          <w:ilvl w:val="0"/>
          <w:numId w:val="54"/>
        </w:numPr>
        <w:rPr>
          <w:rFonts w:ascii="Arial" w:hAnsi="Arial" w:cs="Arial"/>
          <w:sz w:val="22"/>
          <w:szCs w:val="22"/>
        </w:rPr>
      </w:pPr>
      <w:r w:rsidRPr="004950ED">
        <w:rPr>
          <w:rFonts w:ascii="Arial" w:hAnsi="Arial" w:cs="Arial"/>
          <w:sz w:val="22"/>
          <w:szCs w:val="22"/>
        </w:rPr>
        <w:t>Canadian Non-Geographic Code Assignment Guideline</w:t>
      </w:r>
      <w:r w:rsidR="00774977" w:rsidRPr="004950ED">
        <w:rPr>
          <w:rFonts w:ascii="Arial" w:hAnsi="Arial" w:cs="Arial"/>
          <w:sz w:val="22"/>
          <w:szCs w:val="22"/>
        </w:rPr>
        <w:t>; and</w:t>
      </w:r>
    </w:p>
    <w:p w14:paraId="2362ED86" w14:textId="1D62B500" w:rsidR="00CE26FB" w:rsidRPr="004950ED" w:rsidRDefault="00774977" w:rsidP="00611FCF">
      <w:pPr>
        <w:pStyle w:val="ListParagraph"/>
        <w:numPr>
          <w:ilvl w:val="0"/>
          <w:numId w:val="54"/>
        </w:numPr>
        <w:rPr>
          <w:rFonts w:ascii="Arial" w:hAnsi="Arial" w:cs="Arial"/>
          <w:sz w:val="22"/>
          <w:szCs w:val="22"/>
        </w:rPr>
      </w:pPr>
      <w:r w:rsidRPr="004950ED">
        <w:rPr>
          <w:rFonts w:ascii="Arial" w:hAnsi="Arial" w:cs="Arial"/>
          <w:sz w:val="22"/>
          <w:szCs w:val="22"/>
        </w:rPr>
        <w:t>Canadian NPA 600 NXX Code Assignment Guideline</w:t>
      </w:r>
    </w:p>
    <w:p w14:paraId="2D989BF7" w14:textId="6E1F51A4" w:rsidR="005A4557" w:rsidRDefault="005A4557" w:rsidP="005A4557">
      <w:pPr>
        <w:pStyle w:val="Heading1"/>
        <w:numPr>
          <w:ilvl w:val="0"/>
          <w:numId w:val="10"/>
        </w:numPr>
        <w:rPr>
          <w:rFonts w:ascii="Arial" w:hAnsi="Arial" w:cs="Arial"/>
        </w:rPr>
      </w:pPr>
      <w:bookmarkStart w:id="83" w:name="_Toc162946411"/>
      <w:r>
        <w:rPr>
          <w:rFonts w:ascii="Arial" w:hAnsi="Arial" w:cs="Arial"/>
        </w:rPr>
        <w:t>Matters for Further Consideration</w:t>
      </w:r>
      <w:bookmarkEnd w:id="83"/>
    </w:p>
    <w:p w14:paraId="52A41557" w14:textId="77777777" w:rsidR="005A4557" w:rsidRPr="00605ACE" w:rsidRDefault="005A4557" w:rsidP="005A4557"/>
    <w:p w14:paraId="453E596A" w14:textId="3815EC9F" w:rsidR="00635ABB" w:rsidRDefault="00857282" w:rsidP="00635ABB">
      <w:pPr>
        <w:ind w:left="284"/>
        <w:rPr>
          <w:rFonts w:ascii="Arial" w:hAnsi="Arial" w:cs="Arial"/>
          <w:lang w:val="en-US"/>
        </w:rPr>
      </w:pPr>
      <w:r>
        <w:rPr>
          <w:rFonts w:ascii="Arial" w:hAnsi="Arial" w:cs="Arial"/>
          <w:lang w:val="en-US"/>
        </w:rPr>
        <w:t xml:space="preserve">TIF 112 will continue working on this task to resolve the particulars of the </w:t>
      </w:r>
      <w:r w:rsidRPr="007220B7">
        <w:rPr>
          <w:rFonts w:ascii="Arial" w:hAnsi="Arial" w:cs="Arial"/>
        </w:rPr>
        <w:t>Extended 6YY NPA</w:t>
      </w:r>
      <w:r>
        <w:rPr>
          <w:rFonts w:ascii="Arial" w:hAnsi="Arial" w:cs="Arial"/>
        </w:rPr>
        <w:t>s solution</w:t>
      </w:r>
      <w:r>
        <w:rPr>
          <w:rFonts w:ascii="Arial" w:hAnsi="Arial" w:cs="Arial"/>
          <w:lang w:val="en-US"/>
        </w:rPr>
        <w:t xml:space="preserve"> (Option 7).  Another report </w:t>
      </w:r>
      <w:r w:rsidR="00740803">
        <w:rPr>
          <w:rFonts w:ascii="Arial" w:hAnsi="Arial" w:cs="Arial"/>
          <w:lang w:val="en-US"/>
        </w:rPr>
        <w:t xml:space="preserve">will be filed </w:t>
      </w:r>
      <w:r w:rsidR="0085769C">
        <w:rPr>
          <w:rFonts w:ascii="Arial" w:hAnsi="Arial" w:cs="Arial"/>
          <w:lang w:val="en-US"/>
        </w:rPr>
        <w:t>no later than 31 December 2024</w:t>
      </w:r>
      <w:r>
        <w:rPr>
          <w:rFonts w:ascii="Arial" w:hAnsi="Arial" w:cs="Arial"/>
          <w:lang w:val="en-US"/>
        </w:rPr>
        <w:t>.</w:t>
      </w:r>
      <w:r w:rsidR="00566CA7">
        <w:rPr>
          <w:rFonts w:ascii="Arial" w:hAnsi="Arial" w:cs="Arial"/>
          <w:lang w:val="en-US"/>
        </w:rPr>
        <w:t xml:space="preserve">  This</w:t>
      </w:r>
      <w:r>
        <w:rPr>
          <w:rFonts w:ascii="Arial" w:hAnsi="Arial" w:cs="Arial"/>
          <w:lang w:val="en-US"/>
        </w:rPr>
        <w:t xml:space="preserve"> new report</w:t>
      </w:r>
      <w:r w:rsidR="00566CA7">
        <w:rPr>
          <w:rFonts w:ascii="Arial" w:hAnsi="Arial" w:cs="Arial"/>
          <w:lang w:val="en-US"/>
        </w:rPr>
        <w:t xml:space="preserve"> will include a recommendation for the implementation of 1+12 digits (with or without digit locking) or 1+14 digits. </w:t>
      </w:r>
    </w:p>
    <w:p w14:paraId="4774ED20" w14:textId="77777777" w:rsidR="00045C71" w:rsidRPr="00605ACE" w:rsidRDefault="00045C71" w:rsidP="001351F2">
      <w:pPr>
        <w:rPr>
          <w:rFonts w:ascii="Arial" w:hAnsi="Arial" w:cs="Arial"/>
        </w:rPr>
      </w:pPr>
    </w:p>
    <w:p w14:paraId="290F2AC0" w14:textId="77777777" w:rsidR="00635ABB" w:rsidRDefault="00635ABB">
      <w:pPr>
        <w:rPr>
          <w:rFonts w:ascii="Arial" w:eastAsiaTheme="majorEastAsia" w:hAnsi="Arial" w:cs="Arial"/>
          <w:color w:val="2F5496" w:themeColor="accent1" w:themeShade="BF"/>
          <w:sz w:val="24"/>
          <w:szCs w:val="24"/>
        </w:rPr>
      </w:pPr>
      <w:bookmarkStart w:id="84" w:name="_Toc101788483"/>
      <w:r>
        <w:rPr>
          <w:rFonts w:ascii="Arial" w:hAnsi="Arial" w:cs="Arial"/>
          <w:sz w:val="24"/>
          <w:szCs w:val="24"/>
        </w:rPr>
        <w:br w:type="page"/>
      </w:r>
    </w:p>
    <w:p w14:paraId="6BB9C5CE" w14:textId="799D77F0" w:rsidR="00B91EBA" w:rsidRPr="00197AD6" w:rsidRDefault="00B91EBA" w:rsidP="001351F2">
      <w:pPr>
        <w:pStyle w:val="Heading1"/>
        <w:rPr>
          <w:rFonts w:ascii="Arial" w:hAnsi="Arial" w:cs="Arial"/>
          <w:sz w:val="24"/>
          <w:szCs w:val="24"/>
        </w:rPr>
      </w:pPr>
      <w:bookmarkStart w:id="85" w:name="_Toc156387056"/>
      <w:bookmarkStart w:id="86" w:name="_Toc162946412"/>
      <w:r w:rsidRPr="00197AD6">
        <w:rPr>
          <w:rFonts w:ascii="Arial" w:hAnsi="Arial" w:cs="Arial"/>
          <w:sz w:val="24"/>
          <w:szCs w:val="24"/>
        </w:rPr>
        <w:lastRenderedPageBreak/>
        <w:t>Terms and Acronyms</w:t>
      </w:r>
      <w:bookmarkEnd w:id="84"/>
      <w:bookmarkEnd w:id="85"/>
      <w:bookmarkEnd w:id="86"/>
      <w:r w:rsidR="009E6B08" w:rsidRPr="00197AD6">
        <w:rPr>
          <w:rFonts w:ascii="Arial" w:hAnsi="Arial" w:cs="Arial"/>
          <w:sz w:val="24"/>
          <w:szCs w:val="24"/>
        </w:rPr>
        <w:br/>
      </w:r>
    </w:p>
    <w:p w14:paraId="50E6603A" w14:textId="704EA201" w:rsidR="00BE490E" w:rsidRPr="00F00180" w:rsidRDefault="00BE490E" w:rsidP="001351F2">
      <w:pPr>
        <w:pStyle w:val="Caption"/>
        <w:keepNext/>
        <w:rPr>
          <w:sz w:val="24"/>
        </w:rPr>
      </w:pPr>
      <w:bookmarkStart w:id="87" w:name="_Toc156385636"/>
      <w:bookmarkStart w:id="88" w:name="_Toc162946422"/>
      <w:r w:rsidRPr="00F00180">
        <w:rPr>
          <w:b/>
          <w:sz w:val="24"/>
        </w:rPr>
        <w:t xml:space="preserve">Figure </w:t>
      </w:r>
      <w:r w:rsidR="00262139" w:rsidRPr="00F00180">
        <w:rPr>
          <w:b/>
          <w:sz w:val="24"/>
        </w:rPr>
        <w:fldChar w:fldCharType="begin"/>
      </w:r>
      <w:r w:rsidR="00262139" w:rsidRPr="00F00180">
        <w:rPr>
          <w:b/>
          <w:sz w:val="24"/>
        </w:rPr>
        <w:instrText xml:space="preserve"> SEQ Figure \* ARABIC </w:instrText>
      </w:r>
      <w:r w:rsidR="00262139" w:rsidRPr="00F00180">
        <w:rPr>
          <w:b/>
          <w:sz w:val="24"/>
        </w:rPr>
        <w:fldChar w:fldCharType="separate"/>
      </w:r>
      <w:r w:rsidR="00924761" w:rsidRPr="00F00180">
        <w:rPr>
          <w:b/>
          <w:sz w:val="24"/>
        </w:rPr>
        <w:t>7</w:t>
      </w:r>
      <w:r w:rsidR="00262139" w:rsidRPr="00F00180">
        <w:rPr>
          <w:b/>
          <w:sz w:val="24"/>
        </w:rPr>
        <w:fldChar w:fldCharType="end"/>
      </w:r>
      <w:r w:rsidRPr="00F00180">
        <w:rPr>
          <w:sz w:val="24"/>
        </w:rPr>
        <w:t>: Terms and Acronyms</w:t>
      </w:r>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079"/>
      </w:tblGrid>
      <w:tr w:rsidR="00B91EBA" w:rsidRPr="00502CE6" w14:paraId="0A8D2104" w14:textId="77777777" w:rsidTr="00F00180">
        <w:tc>
          <w:tcPr>
            <w:tcW w:w="1271" w:type="dxa"/>
          </w:tcPr>
          <w:p w14:paraId="31067C98" w14:textId="77777777" w:rsidR="00B91EBA" w:rsidRPr="00F00180" w:rsidRDefault="00B91EBA" w:rsidP="001351F2">
            <w:pPr>
              <w:rPr>
                <w:rFonts w:ascii="Arial" w:hAnsi="Arial"/>
                <w:sz w:val="20"/>
                <w:u w:val="single"/>
              </w:rPr>
            </w:pPr>
            <w:r w:rsidRPr="00F00180">
              <w:rPr>
                <w:rFonts w:ascii="Arial" w:hAnsi="Arial"/>
                <w:sz w:val="20"/>
                <w:u w:val="single"/>
              </w:rPr>
              <w:t>Term</w:t>
            </w:r>
          </w:p>
        </w:tc>
        <w:tc>
          <w:tcPr>
            <w:tcW w:w="8079" w:type="dxa"/>
          </w:tcPr>
          <w:p w14:paraId="60E69FCB" w14:textId="77777777" w:rsidR="00B91EBA" w:rsidRPr="00F00180" w:rsidRDefault="00B91EBA" w:rsidP="001351F2">
            <w:pPr>
              <w:rPr>
                <w:rFonts w:ascii="Arial" w:hAnsi="Arial"/>
                <w:sz w:val="20"/>
                <w:u w:val="single"/>
              </w:rPr>
            </w:pPr>
            <w:r w:rsidRPr="00F00180">
              <w:rPr>
                <w:rFonts w:ascii="Arial" w:hAnsi="Arial"/>
                <w:sz w:val="20"/>
                <w:u w:val="single"/>
              </w:rPr>
              <w:t>Definition</w:t>
            </w:r>
          </w:p>
        </w:tc>
      </w:tr>
      <w:tr w:rsidR="008A5E59" w:rsidRPr="00502CE6" w14:paraId="0873B8A3" w14:textId="77777777" w:rsidTr="00F00180">
        <w:tc>
          <w:tcPr>
            <w:tcW w:w="1271" w:type="dxa"/>
            <w:shd w:val="clear" w:color="auto" w:fill="auto"/>
          </w:tcPr>
          <w:p w14:paraId="63384A01" w14:textId="77777777" w:rsidR="008A5E59" w:rsidRPr="00F00180" w:rsidRDefault="008A5E59" w:rsidP="001351F2">
            <w:pPr>
              <w:rPr>
                <w:rFonts w:ascii="Arial" w:hAnsi="Arial"/>
                <w:sz w:val="20"/>
              </w:rPr>
            </w:pPr>
            <w:r w:rsidRPr="00F00180">
              <w:rPr>
                <w:rFonts w:ascii="Arial" w:hAnsi="Arial"/>
                <w:sz w:val="20"/>
              </w:rPr>
              <w:t>5G</w:t>
            </w:r>
          </w:p>
        </w:tc>
        <w:tc>
          <w:tcPr>
            <w:tcW w:w="8079" w:type="dxa"/>
            <w:shd w:val="clear" w:color="auto" w:fill="auto"/>
          </w:tcPr>
          <w:p w14:paraId="017BE102" w14:textId="77777777" w:rsidR="008A5E59" w:rsidRPr="00F00180" w:rsidRDefault="008A5E59" w:rsidP="001351F2">
            <w:pPr>
              <w:rPr>
                <w:rFonts w:ascii="Arial" w:hAnsi="Arial"/>
                <w:sz w:val="20"/>
              </w:rPr>
            </w:pPr>
            <w:r w:rsidRPr="00F00180">
              <w:rPr>
                <w:rFonts w:ascii="Arial" w:hAnsi="Arial"/>
                <w:sz w:val="20"/>
              </w:rPr>
              <w:t>Fifth-generation technology standard for broadband cellular networks</w:t>
            </w:r>
            <w:r w:rsidR="00E3563E" w:rsidRPr="00F00180">
              <w:rPr>
                <w:rFonts w:ascii="Arial" w:hAnsi="Arial"/>
                <w:sz w:val="20"/>
              </w:rPr>
              <w:t>.  5G has faster download speeds than 4G.</w:t>
            </w:r>
          </w:p>
        </w:tc>
      </w:tr>
      <w:tr w:rsidR="0057353B" w:rsidRPr="00502CE6" w14:paraId="06A6AD5D" w14:textId="77777777" w:rsidTr="00F00180">
        <w:tc>
          <w:tcPr>
            <w:tcW w:w="1271" w:type="dxa"/>
            <w:shd w:val="clear" w:color="auto" w:fill="auto"/>
          </w:tcPr>
          <w:p w14:paraId="5A7EED74" w14:textId="77777777" w:rsidR="0057353B" w:rsidRPr="00F00180" w:rsidRDefault="0057353B" w:rsidP="001351F2">
            <w:pPr>
              <w:rPr>
                <w:rFonts w:ascii="Arial" w:hAnsi="Arial"/>
                <w:sz w:val="20"/>
              </w:rPr>
            </w:pPr>
            <w:r w:rsidRPr="00F00180">
              <w:rPr>
                <w:rFonts w:ascii="Arial" w:hAnsi="Arial"/>
                <w:sz w:val="20"/>
              </w:rPr>
              <w:t>6YY</w:t>
            </w:r>
          </w:p>
        </w:tc>
        <w:tc>
          <w:tcPr>
            <w:tcW w:w="8079" w:type="dxa"/>
            <w:shd w:val="clear" w:color="auto" w:fill="auto"/>
          </w:tcPr>
          <w:p w14:paraId="52684EDF" w14:textId="77777777" w:rsidR="0057353B" w:rsidRPr="00F00180" w:rsidRDefault="0057353B" w:rsidP="001351F2">
            <w:pPr>
              <w:rPr>
                <w:rFonts w:ascii="Arial" w:hAnsi="Arial"/>
                <w:sz w:val="20"/>
              </w:rPr>
            </w:pPr>
            <w:r w:rsidRPr="00F00180">
              <w:rPr>
                <w:rFonts w:ascii="Arial" w:hAnsi="Arial"/>
                <w:sz w:val="20"/>
              </w:rPr>
              <w:t>A Canadian non-geographic area code, i.e., 622, 633, 644, 633, 677, 688.</w:t>
            </w:r>
          </w:p>
        </w:tc>
      </w:tr>
      <w:tr w:rsidR="001F1586" w:rsidRPr="00502CE6" w14:paraId="28B7F3F1" w14:textId="77777777" w:rsidTr="00F00180">
        <w:tc>
          <w:tcPr>
            <w:tcW w:w="1271" w:type="dxa"/>
            <w:shd w:val="clear" w:color="auto" w:fill="auto"/>
          </w:tcPr>
          <w:p w14:paraId="43556EEC" w14:textId="77777777" w:rsidR="001F1586" w:rsidRPr="00F00180" w:rsidRDefault="001F1586" w:rsidP="001351F2">
            <w:pPr>
              <w:rPr>
                <w:rFonts w:ascii="Arial" w:hAnsi="Arial"/>
                <w:sz w:val="20"/>
              </w:rPr>
            </w:pPr>
            <w:r w:rsidRPr="00F00180">
              <w:rPr>
                <w:rFonts w:ascii="Arial" w:hAnsi="Arial"/>
                <w:sz w:val="20"/>
              </w:rPr>
              <w:t>BIRRDS</w:t>
            </w:r>
          </w:p>
        </w:tc>
        <w:tc>
          <w:tcPr>
            <w:tcW w:w="8079" w:type="dxa"/>
            <w:shd w:val="clear" w:color="auto" w:fill="auto"/>
          </w:tcPr>
          <w:p w14:paraId="3F8D3F08" w14:textId="77777777" w:rsidR="001F1586" w:rsidRPr="00F00180" w:rsidRDefault="001D7060" w:rsidP="001351F2">
            <w:pPr>
              <w:rPr>
                <w:rFonts w:ascii="Arial" w:hAnsi="Arial"/>
                <w:sz w:val="20"/>
              </w:rPr>
            </w:pPr>
            <w:r w:rsidRPr="00F00180">
              <w:rPr>
                <w:rFonts w:ascii="Arial" w:hAnsi="Arial"/>
                <w:sz w:val="20"/>
              </w:rPr>
              <w:t>Business Integrated Routing and Rating Database System</w:t>
            </w:r>
          </w:p>
        </w:tc>
      </w:tr>
      <w:tr w:rsidR="00E23E84" w:rsidRPr="00502CE6" w14:paraId="1C30ADB0" w14:textId="77777777" w:rsidTr="00F00180">
        <w:tc>
          <w:tcPr>
            <w:tcW w:w="1271" w:type="dxa"/>
            <w:shd w:val="clear" w:color="auto" w:fill="auto"/>
          </w:tcPr>
          <w:p w14:paraId="34163CD1" w14:textId="77777777" w:rsidR="00E23E84" w:rsidRPr="00F00180" w:rsidRDefault="00E23E84" w:rsidP="001351F2">
            <w:pPr>
              <w:rPr>
                <w:rFonts w:ascii="Arial" w:hAnsi="Arial"/>
                <w:sz w:val="20"/>
              </w:rPr>
            </w:pPr>
            <w:r w:rsidRPr="00F00180">
              <w:rPr>
                <w:rFonts w:ascii="Arial" w:hAnsi="Arial"/>
                <w:sz w:val="20"/>
              </w:rPr>
              <w:t>BLIF</w:t>
            </w:r>
          </w:p>
        </w:tc>
        <w:tc>
          <w:tcPr>
            <w:tcW w:w="8079" w:type="dxa"/>
            <w:shd w:val="clear" w:color="auto" w:fill="auto"/>
          </w:tcPr>
          <w:p w14:paraId="5427F6B7" w14:textId="77777777" w:rsidR="00E23E84" w:rsidRPr="00F00180" w:rsidRDefault="00E23E84" w:rsidP="001351F2">
            <w:pPr>
              <w:rPr>
                <w:rFonts w:ascii="Arial" w:hAnsi="Arial"/>
                <w:sz w:val="20"/>
              </w:rPr>
            </w:pPr>
            <w:r w:rsidRPr="00F00180">
              <w:rPr>
                <w:rFonts w:ascii="Arial" w:hAnsi="Arial"/>
                <w:sz w:val="20"/>
              </w:rPr>
              <w:t>Basic Listing Interchange File</w:t>
            </w:r>
          </w:p>
        </w:tc>
      </w:tr>
      <w:tr w:rsidR="0057353B" w:rsidRPr="00502CE6" w14:paraId="4759AA8C" w14:textId="77777777" w:rsidTr="00F00180">
        <w:tc>
          <w:tcPr>
            <w:tcW w:w="1271" w:type="dxa"/>
            <w:shd w:val="clear" w:color="auto" w:fill="auto"/>
          </w:tcPr>
          <w:p w14:paraId="1283FF4C" w14:textId="77777777" w:rsidR="0057353B" w:rsidRPr="00F00180" w:rsidRDefault="0057353B" w:rsidP="001351F2">
            <w:pPr>
              <w:rPr>
                <w:rFonts w:ascii="Arial" w:hAnsi="Arial"/>
                <w:sz w:val="20"/>
              </w:rPr>
            </w:pPr>
            <w:r w:rsidRPr="00F00180">
              <w:rPr>
                <w:rFonts w:ascii="Arial" w:hAnsi="Arial"/>
                <w:sz w:val="20"/>
              </w:rPr>
              <w:t>BSS</w:t>
            </w:r>
          </w:p>
        </w:tc>
        <w:tc>
          <w:tcPr>
            <w:tcW w:w="8079" w:type="dxa"/>
            <w:shd w:val="clear" w:color="auto" w:fill="auto"/>
          </w:tcPr>
          <w:p w14:paraId="6CE5CF96" w14:textId="77777777" w:rsidR="0057353B" w:rsidRPr="00F00180" w:rsidRDefault="0057353B" w:rsidP="001351F2">
            <w:pPr>
              <w:rPr>
                <w:rFonts w:ascii="Arial" w:hAnsi="Arial"/>
                <w:sz w:val="20"/>
              </w:rPr>
            </w:pPr>
            <w:r w:rsidRPr="00F00180">
              <w:rPr>
                <w:rFonts w:ascii="Arial" w:hAnsi="Arial"/>
                <w:sz w:val="20"/>
              </w:rPr>
              <w:t>Billing Support Systems</w:t>
            </w:r>
          </w:p>
        </w:tc>
      </w:tr>
      <w:tr w:rsidR="00C54B61" w:rsidRPr="00502CE6" w14:paraId="12E9F6A8" w14:textId="77777777" w:rsidTr="004950ED">
        <w:tc>
          <w:tcPr>
            <w:tcW w:w="1271" w:type="dxa"/>
            <w:shd w:val="clear" w:color="auto" w:fill="auto"/>
          </w:tcPr>
          <w:p w14:paraId="3F73D3DE" w14:textId="06AB296A" w:rsidR="00C54B61" w:rsidRPr="004950ED" w:rsidRDefault="00C54B61" w:rsidP="001351F2">
            <w:pPr>
              <w:rPr>
                <w:rFonts w:ascii="Arial" w:hAnsi="Arial" w:cs="Arial"/>
                <w:sz w:val="20"/>
                <w:szCs w:val="20"/>
              </w:rPr>
            </w:pPr>
            <w:r w:rsidRPr="004950ED">
              <w:rPr>
                <w:rFonts w:ascii="Arial" w:hAnsi="Arial" w:cs="Arial"/>
                <w:sz w:val="20"/>
                <w:szCs w:val="20"/>
              </w:rPr>
              <w:t>Carrier</w:t>
            </w:r>
          </w:p>
        </w:tc>
        <w:tc>
          <w:tcPr>
            <w:tcW w:w="8079" w:type="dxa"/>
            <w:shd w:val="clear" w:color="auto" w:fill="auto"/>
          </w:tcPr>
          <w:p w14:paraId="5993B740" w14:textId="1756BBB9" w:rsidR="00C54B61" w:rsidRPr="004950ED" w:rsidRDefault="00C54B61" w:rsidP="001351F2">
            <w:pPr>
              <w:rPr>
                <w:rFonts w:ascii="Arial" w:hAnsi="Arial" w:cs="Arial"/>
                <w:sz w:val="20"/>
                <w:szCs w:val="20"/>
              </w:rPr>
            </w:pPr>
            <w:r w:rsidRPr="004950ED">
              <w:rPr>
                <w:rFonts w:ascii="Arial" w:hAnsi="Arial" w:cs="Arial"/>
                <w:sz w:val="20"/>
                <w:szCs w:val="20"/>
              </w:rPr>
              <w:t>A Canadian carrier as defined by the Telecommunications Act</w:t>
            </w:r>
          </w:p>
        </w:tc>
      </w:tr>
      <w:tr w:rsidR="008A5E59" w:rsidRPr="00502CE6" w14:paraId="3017F174" w14:textId="77777777" w:rsidTr="00F00180">
        <w:tc>
          <w:tcPr>
            <w:tcW w:w="1271" w:type="dxa"/>
            <w:shd w:val="clear" w:color="auto" w:fill="auto"/>
          </w:tcPr>
          <w:p w14:paraId="55F09CD7" w14:textId="77777777" w:rsidR="008A5E59" w:rsidRPr="00F00180" w:rsidRDefault="008A5E59" w:rsidP="001351F2">
            <w:pPr>
              <w:rPr>
                <w:rFonts w:ascii="Arial" w:hAnsi="Arial"/>
                <w:sz w:val="20"/>
              </w:rPr>
            </w:pPr>
            <w:r w:rsidRPr="00F00180">
              <w:rPr>
                <w:rFonts w:ascii="Arial" w:hAnsi="Arial"/>
                <w:sz w:val="20"/>
              </w:rPr>
              <w:t>CC</w:t>
            </w:r>
          </w:p>
        </w:tc>
        <w:tc>
          <w:tcPr>
            <w:tcW w:w="8079" w:type="dxa"/>
            <w:shd w:val="clear" w:color="auto" w:fill="auto"/>
          </w:tcPr>
          <w:p w14:paraId="0ABDD819" w14:textId="77777777" w:rsidR="008A5E59" w:rsidRPr="00F00180" w:rsidRDefault="008A5E59" w:rsidP="001351F2">
            <w:pPr>
              <w:rPr>
                <w:rFonts w:ascii="Arial" w:hAnsi="Arial"/>
                <w:sz w:val="20"/>
              </w:rPr>
            </w:pPr>
            <w:r w:rsidRPr="00F00180">
              <w:rPr>
                <w:rFonts w:ascii="Arial" w:hAnsi="Arial"/>
                <w:sz w:val="20"/>
              </w:rPr>
              <w:t>Country Code</w:t>
            </w:r>
          </w:p>
        </w:tc>
      </w:tr>
      <w:tr w:rsidR="008A5E59" w:rsidRPr="00502CE6" w14:paraId="2D2E5B0D" w14:textId="77777777" w:rsidTr="00F00180">
        <w:tc>
          <w:tcPr>
            <w:tcW w:w="1271" w:type="dxa"/>
            <w:shd w:val="clear" w:color="auto" w:fill="auto"/>
          </w:tcPr>
          <w:p w14:paraId="2196B5BA" w14:textId="77777777" w:rsidR="008A5E59" w:rsidRPr="00F00180" w:rsidRDefault="008A5E59" w:rsidP="001351F2">
            <w:pPr>
              <w:rPr>
                <w:rFonts w:ascii="Arial" w:hAnsi="Arial"/>
                <w:sz w:val="20"/>
              </w:rPr>
            </w:pPr>
            <w:r w:rsidRPr="00F00180">
              <w:rPr>
                <w:rFonts w:ascii="Arial" w:hAnsi="Arial"/>
                <w:sz w:val="20"/>
              </w:rPr>
              <w:t>CISC</w:t>
            </w:r>
          </w:p>
        </w:tc>
        <w:tc>
          <w:tcPr>
            <w:tcW w:w="8079" w:type="dxa"/>
            <w:shd w:val="clear" w:color="auto" w:fill="auto"/>
          </w:tcPr>
          <w:p w14:paraId="2DC65818" w14:textId="77777777" w:rsidR="008A5E59" w:rsidRPr="00F00180" w:rsidRDefault="00112646" w:rsidP="001351F2">
            <w:pPr>
              <w:rPr>
                <w:rFonts w:ascii="Arial" w:hAnsi="Arial"/>
                <w:sz w:val="20"/>
              </w:rPr>
            </w:pPr>
            <w:r w:rsidRPr="00F00180">
              <w:rPr>
                <w:rFonts w:ascii="Arial" w:hAnsi="Arial"/>
                <w:sz w:val="20"/>
              </w:rPr>
              <w:t xml:space="preserve">CRTC </w:t>
            </w:r>
            <w:r w:rsidR="008A5E59" w:rsidRPr="00F00180">
              <w:rPr>
                <w:rFonts w:ascii="Arial" w:hAnsi="Arial"/>
                <w:sz w:val="20"/>
              </w:rPr>
              <w:t>Interconnect</w:t>
            </w:r>
            <w:r w:rsidRPr="00F00180">
              <w:rPr>
                <w:rFonts w:ascii="Arial" w:hAnsi="Arial"/>
                <w:sz w:val="20"/>
              </w:rPr>
              <w:t>ion</w:t>
            </w:r>
            <w:r w:rsidR="008A5E59" w:rsidRPr="00F00180">
              <w:rPr>
                <w:rFonts w:ascii="Arial" w:hAnsi="Arial"/>
                <w:sz w:val="20"/>
              </w:rPr>
              <w:t xml:space="preserve"> Steering Committee</w:t>
            </w:r>
          </w:p>
        </w:tc>
      </w:tr>
      <w:tr w:rsidR="001D7060" w:rsidRPr="00502CE6" w14:paraId="587D2E6B" w14:textId="77777777" w:rsidTr="00F00180">
        <w:tc>
          <w:tcPr>
            <w:tcW w:w="1271" w:type="dxa"/>
            <w:shd w:val="clear" w:color="auto" w:fill="auto"/>
          </w:tcPr>
          <w:p w14:paraId="6667BC64" w14:textId="77777777" w:rsidR="001D7060" w:rsidRPr="00F00180" w:rsidRDefault="001D7060" w:rsidP="001351F2">
            <w:pPr>
              <w:rPr>
                <w:rFonts w:ascii="Arial" w:hAnsi="Arial"/>
                <w:sz w:val="20"/>
              </w:rPr>
            </w:pPr>
            <w:r w:rsidRPr="00F00180">
              <w:rPr>
                <w:rFonts w:ascii="Arial" w:hAnsi="Arial"/>
                <w:sz w:val="20"/>
              </w:rPr>
              <w:t>CLIF</w:t>
            </w:r>
          </w:p>
        </w:tc>
        <w:tc>
          <w:tcPr>
            <w:tcW w:w="8079" w:type="dxa"/>
            <w:shd w:val="clear" w:color="auto" w:fill="auto"/>
          </w:tcPr>
          <w:p w14:paraId="34B32AC9" w14:textId="77777777" w:rsidR="001D7060" w:rsidRPr="00F00180" w:rsidRDefault="001D7060" w:rsidP="001351F2">
            <w:pPr>
              <w:rPr>
                <w:rFonts w:ascii="Arial" w:hAnsi="Arial"/>
                <w:sz w:val="20"/>
              </w:rPr>
            </w:pPr>
            <w:r w:rsidRPr="00F00180">
              <w:rPr>
                <w:rFonts w:ascii="Arial" w:hAnsi="Arial"/>
                <w:sz w:val="20"/>
              </w:rPr>
              <w:t>Complex Listing Interchange File</w:t>
            </w:r>
          </w:p>
        </w:tc>
      </w:tr>
      <w:tr w:rsidR="008A5E59" w:rsidRPr="00502CE6" w14:paraId="1673403E" w14:textId="77777777" w:rsidTr="00F00180">
        <w:tc>
          <w:tcPr>
            <w:tcW w:w="1271" w:type="dxa"/>
            <w:shd w:val="clear" w:color="auto" w:fill="auto"/>
          </w:tcPr>
          <w:p w14:paraId="556AB110" w14:textId="77777777" w:rsidR="008A5E59" w:rsidRPr="00F00180" w:rsidRDefault="008A5E59" w:rsidP="001351F2">
            <w:pPr>
              <w:rPr>
                <w:rFonts w:ascii="Arial" w:hAnsi="Arial"/>
                <w:sz w:val="20"/>
              </w:rPr>
            </w:pPr>
            <w:r w:rsidRPr="00F00180">
              <w:rPr>
                <w:rFonts w:ascii="Arial" w:hAnsi="Arial"/>
                <w:sz w:val="20"/>
              </w:rPr>
              <w:t xml:space="preserve">CNA </w:t>
            </w:r>
          </w:p>
        </w:tc>
        <w:tc>
          <w:tcPr>
            <w:tcW w:w="8079" w:type="dxa"/>
            <w:shd w:val="clear" w:color="auto" w:fill="auto"/>
          </w:tcPr>
          <w:p w14:paraId="791785C1" w14:textId="77777777" w:rsidR="008A5E59" w:rsidRPr="00F00180" w:rsidRDefault="008A5E59" w:rsidP="001351F2">
            <w:pPr>
              <w:rPr>
                <w:rFonts w:ascii="Arial" w:hAnsi="Arial"/>
                <w:sz w:val="20"/>
              </w:rPr>
            </w:pPr>
            <w:r w:rsidRPr="00F00180">
              <w:rPr>
                <w:rFonts w:ascii="Arial" w:hAnsi="Arial"/>
                <w:sz w:val="20"/>
              </w:rPr>
              <w:t xml:space="preserve">Canadian Numbering </w:t>
            </w:r>
            <w:r w:rsidR="00F43A78" w:rsidRPr="00F00180">
              <w:rPr>
                <w:rFonts w:ascii="Arial" w:hAnsi="Arial"/>
                <w:sz w:val="20"/>
              </w:rPr>
              <w:t>Admin</w:t>
            </w:r>
            <w:r w:rsidR="00B75E6B" w:rsidRPr="00F00180">
              <w:rPr>
                <w:rFonts w:ascii="Arial" w:hAnsi="Arial"/>
                <w:sz w:val="20"/>
              </w:rPr>
              <w:t>i</w:t>
            </w:r>
            <w:r w:rsidR="00F43A78" w:rsidRPr="00F00180">
              <w:rPr>
                <w:rFonts w:ascii="Arial" w:hAnsi="Arial"/>
                <w:sz w:val="20"/>
              </w:rPr>
              <w:t>strator</w:t>
            </w:r>
          </w:p>
        </w:tc>
      </w:tr>
      <w:tr w:rsidR="0035415E" w:rsidRPr="00502CE6" w14:paraId="0144C1E0" w14:textId="77777777" w:rsidTr="00F00180">
        <w:tc>
          <w:tcPr>
            <w:tcW w:w="1271" w:type="dxa"/>
            <w:shd w:val="clear" w:color="auto" w:fill="auto"/>
          </w:tcPr>
          <w:p w14:paraId="5E743934" w14:textId="77777777" w:rsidR="0035415E" w:rsidRPr="00F00180" w:rsidRDefault="0035415E" w:rsidP="001351F2">
            <w:pPr>
              <w:rPr>
                <w:rFonts w:ascii="Arial" w:hAnsi="Arial"/>
                <w:sz w:val="20"/>
              </w:rPr>
            </w:pPr>
            <w:r w:rsidRPr="00F00180">
              <w:rPr>
                <w:rFonts w:ascii="Arial" w:hAnsi="Arial"/>
                <w:sz w:val="20"/>
              </w:rPr>
              <w:t>CNAC</w:t>
            </w:r>
          </w:p>
        </w:tc>
        <w:tc>
          <w:tcPr>
            <w:tcW w:w="8079" w:type="dxa"/>
            <w:shd w:val="clear" w:color="auto" w:fill="auto"/>
          </w:tcPr>
          <w:p w14:paraId="2BC35FF3" w14:textId="77777777" w:rsidR="0035415E" w:rsidRPr="00F00180" w:rsidRDefault="0035415E" w:rsidP="001351F2">
            <w:pPr>
              <w:rPr>
                <w:rFonts w:ascii="Arial" w:hAnsi="Arial"/>
                <w:sz w:val="20"/>
              </w:rPr>
            </w:pPr>
            <w:r w:rsidRPr="00F00180">
              <w:rPr>
                <w:rFonts w:ascii="Arial" w:hAnsi="Arial"/>
                <w:sz w:val="20"/>
              </w:rPr>
              <w:t xml:space="preserve">Canadian Numbering </w:t>
            </w:r>
            <w:r w:rsidR="00B75E6B" w:rsidRPr="00F00180">
              <w:rPr>
                <w:rFonts w:ascii="Arial" w:hAnsi="Arial"/>
                <w:sz w:val="20"/>
              </w:rPr>
              <w:t>Administration</w:t>
            </w:r>
            <w:r w:rsidR="00F43A78" w:rsidRPr="00F00180">
              <w:rPr>
                <w:rFonts w:ascii="Arial" w:hAnsi="Arial"/>
                <w:sz w:val="20"/>
              </w:rPr>
              <w:t xml:space="preserve"> </w:t>
            </w:r>
            <w:r w:rsidRPr="00F00180">
              <w:rPr>
                <w:rFonts w:ascii="Arial" w:hAnsi="Arial"/>
                <w:sz w:val="20"/>
              </w:rPr>
              <w:t>Consortium</w:t>
            </w:r>
            <w:r w:rsidRPr="00F00180">
              <w:rPr>
                <w:rStyle w:val="FootnoteReference"/>
                <w:rFonts w:ascii="Arial" w:hAnsi="Arial"/>
                <w:sz w:val="20"/>
              </w:rPr>
              <w:footnoteReference w:id="28"/>
            </w:r>
          </w:p>
        </w:tc>
      </w:tr>
      <w:tr w:rsidR="008A5E59" w:rsidRPr="00502CE6" w14:paraId="36F0AC75" w14:textId="77777777" w:rsidTr="00F00180">
        <w:tc>
          <w:tcPr>
            <w:tcW w:w="1271" w:type="dxa"/>
            <w:shd w:val="clear" w:color="auto" w:fill="auto"/>
          </w:tcPr>
          <w:p w14:paraId="45CE64A0" w14:textId="77777777" w:rsidR="008A5E59" w:rsidRPr="00F00180" w:rsidRDefault="008A5E59" w:rsidP="001351F2">
            <w:pPr>
              <w:rPr>
                <w:rFonts w:ascii="Arial" w:hAnsi="Arial"/>
                <w:sz w:val="20"/>
              </w:rPr>
            </w:pPr>
            <w:r w:rsidRPr="00F00180">
              <w:rPr>
                <w:rFonts w:ascii="Arial" w:hAnsi="Arial"/>
                <w:sz w:val="20"/>
              </w:rPr>
              <w:t>CO</w:t>
            </w:r>
          </w:p>
        </w:tc>
        <w:tc>
          <w:tcPr>
            <w:tcW w:w="8079" w:type="dxa"/>
            <w:shd w:val="clear" w:color="auto" w:fill="auto"/>
          </w:tcPr>
          <w:p w14:paraId="19F71516" w14:textId="77777777" w:rsidR="008A5E59" w:rsidRPr="00F00180" w:rsidRDefault="008A5E59" w:rsidP="001351F2">
            <w:pPr>
              <w:rPr>
                <w:rFonts w:ascii="Arial" w:hAnsi="Arial"/>
                <w:sz w:val="20"/>
              </w:rPr>
            </w:pPr>
            <w:r w:rsidRPr="00F00180">
              <w:rPr>
                <w:rFonts w:ascii="Arial" w:hAnsi="Arial"/>
                <w:sz w:val="20"/>
              </w:rPr>
              <w:t>Central Office.  Usually used in the context of “Central Office Code.” see NXX.</w:t>
            </w:r>
          </w:p>
        </w:tc>
      </w:tr>
      <w:tr w:rsidR="008A5E59" w:rsidRPr="00502CE6" w14:paraId="58D83E63" w14:textId="77777777" w:rsidTr="00F00180">
        <w:tc>
          <w:tcPr>
            <w:tcW w:w="1271" w:type="dxa"/>
            <w:shd w:val="clear" w:color="auto" w:fill="auto"/>
          </w:tcPr>
          <w:p w14:paraId="4A14D893" w14:textId="77777777" w:rsidR="008A5E59" w:rsidRPr="00F00180" w:rsidRDefault="008A5E59" w:rsidP="001351F2">
            <w:pPr>
              <w:rPr>
                <w:rFonts w:ascii="Arial" w:hAnsi="Arial"/>
                <w:sz w:val="20"/>
              </w:rPr>
            </w:pPr>
            <w:r w:rsidRPr="00F00180">
              <w:rPr>
                <w:rFonts w:ascii="Arial" w:hAnsi="Arial"/>
                <w:sz w:val="20"/>
              </w:rPr>
              <w:t>CRTC</w:t>
            </w:r>
          </w:p>
        </w:tc>
        <w:tc>
          <w:tcPr>
            <w:tcW w:w="8079" w:type="dxa"/>
            <w:shd w:val="clear" w:color="auto" w:fill="auto"/>
          </w:tcPr>
          <w:p w14:paraId="1CC5519A" w14:textId="77777777" w:rsidR="008A5E59" w:rsidRPr="00F00180" w:rsidRDefault="008A5E59" w:rsidP="001351F2">
            <w:pPr>
              <w:rPr>
                <w:rFonts w:ascii="Arial" w:hAnsi="Arial"/>
                <w:sz w:val="20"/>
              </w:rPr>
            </w:pPr>
            <w:r w:rsidRPr="00F00180">
              <w:rPr>
                <w:rFonts w:ascii="Arial" w:hAnsi="Arial"/>
                <w:sz w:val="20"/>
              </w:rPr>
              <w:t>Canadian Radio-television and Telecommunications Commission</w:t>
            </w:r>
          </w:p>
        </w:tc>
      </w:tr>
      <w:tr w:rsidR="008A5E59" w:rsidRPr="00502CE6" w14:paraId="77044CD3" w14:textId="77777777" w:rsidTr="00F00180">
        <w:tc>
          <w:tcPr>
            <w:tcW w:w="1271" w:type="dxa"/>
            <w:shd w:val="clear" w:color="auto" w:fill="auto"/>
          </w:tcPr>
          <w:p w14:paraId="7ADE33B4" w14:textId="77777777" w:rsidR="008A5E59" w:rsidRPr="00F00180" w:rsidRDefault="008A5E59" w:rsidP="001351F2">
            <w:pPr>
              <w:rPr>
                <w:rFonts w:ascii="Arial" w:hAnsi="Arial"/>
                <w:sz w:val="20"/>
              </w:rPr>
            </w:pPr>
            <w:r w:rsidRPr="00F00180">
              <w:rPr>
                <w:rFonts w:ascii="Arial" w:hAnsi="Arial"/>
                <w:sz w:val="20"/>
              </w:rPr>
              <w:t>CSCN</w:t>
            </w:r>
          </w:p>
        </w:tc>
        <w:tc>
          <w:tcPr>
            <w:tcW w:w="8079" w:type="dxa"/>
            <w:shd w:val="clear" w:color="auto" w:fill="auto"/>
          </w:tcPr>
          <w:p w14:paraId="39727521" w14:textId="77777777" w:rsidR="008A5E59" w:rsidRPr="00F00180" w:rsidRDefault="008A5E59" w:rsidP="001351F2">
            <w:pPr>
              <w:rPr>
                <w:rFonts w:ascii="Arial" w:hAnsi="Arial"/>
                <w:sz w:val="20"/>
              </w:rPr>
            </w:pPr>
            <w:r w:rsidRPr="00F00180">
              <w:rPr>
                <w:rFonts w:ascii="Arial" w:hAnsi="Arial"/>
                <w:sz w:val="20"/>
              </w:rPr>
              <w:t>Canadian Steering Committee on Numbering</w:t>
            </w:r>
          </w:p>
        </w:tc>
      </w:tr>
      <w:tr w:rsidR="00DC5898" w:rsidRPr="00502CE6" w14:paraId="480A1B8F" w14:textId="77777777" w:rsidTr="00F00180">
        <w:tc>
          <w:tcPr>
            <w:tcW w:w="1271" w:type="dxa"/>
            <w:shd w:val="clear" w:color="auto" w:fill="auto"/>
          </w:tcPr>
          <w:p w14:paraId="7B0432AF" w14:textId="77777777" w:rsidR="00DC5898" w:rsidRPr="00F00180" w:rsidRDefault="00DC5898" w:rsidP="001351F2">
            <w:pPr>
              <w:rPr>
                <w:rFonts w:ascii="Arial" w:hAnsi="Arial"/>
                <w:sz w:val="20"/>
              </w:rPr>
            </w:pPr>
            <w:r w:rsidRPr="00F00180">
              <w:rPr>
                <w:rFonts w:ascii="Arial" w:hAnsi="Arial"/>
                <w:sz w:val="20"/>
              </w:rPr>
              <w:t>D-digit</w:t>
            </w:r>
          </w:p>
        </w:tc>
        <w:tc>
          <w:tcPr>
            <w:tcW w:w="8079" w:type="dxa"/>
            <w:shd w:val="clear" w:color="auto" w:fill="auto"/>
          </w:tcPr>
          <w:p w14:paraId="6B196379" w14:textId="77777777" w:rsidR="00DC5898" w:rsidRPr="00F00180" w:rsidRDefault="00DC5898" w:rsidP="001351F2">
            <w:pPr>
              <w:rPr>
                <w:rFonts w:ascii="Arial" w:hAnsi="Arial"/>
                <w:sz w:val="20"/>
              </w:rPr>
            </w:pPr>
            <w:r w:rsidRPr="00F00180">
              <w:rPr>
                <w:rFonts w:ascii="Arial" w:hAnsi="Arial"/>
                <w:sz w:val="20"/>
              </w:rPr>
              <w:t xml:space="preserve">The fourth digit in a TN, excluding the Country Code, e.g. </w:t>
            </w:r>
            <w:r w:rsidR="0086468B" w:rsidRPr="00F00180">
              <w:rPr>
                <w:rFonts w:ascii="Arial" w:hAnsi="Arial"/>
                <w:sz w:val="20"/>
              </w:rPr>
              <w:t>1-ABC-</w:t>
            </w:r>
            <w:r w:rsidR="0086468B" w:rsidRPr="00F00180">
              <w:rPr>
                <w:rFonts w:ascii="Arial" w:hAnsi="Arial"/>
                <w:b/>
                <w:sz w:val="20"/>
              </w:rPr>
              <w:t>D</w:t>
            </w:r>
            <w:r w:rsidR="0086468B" w:rsidRPr="00F00180">
              <w:rPr>
                <w:rFonts w:ascii="Arial" w:hAnsi="Arial"/>
                <w:sz w:val="20"/>
              </w:rPr>
              <w:t>EF-GHIJ or 1-ABC</w:t>
            </w:r>
            <w:r w:rsidR="0086468B" w:rsidRPr="00F00180">
              <w:rPr>
                <w:rFonts w:ascii="Arial" w:hAnsi="Arial"/>
                <w:b/>
                <w:sz w:val="20"/>
              </w:rPr>
              <w:t>D</w:t>
            </w:r>
            <w:r w:rsidR="0086468B" w:rsidRPr="00F00180">
              <w:rPr>
                <w:rFonts w:ascii="Arial" w:hAnsi="Arial"/>
                <w:sz w:val="20"/>
              </w:rPr>
              <w:t>-EF</w:t>
            </w:r>
            <w:r w:rsidR="00402224" w:rsidRPr="00F00180">
              <w:rPr>
                <w:rFonts w:ascii="Arial" w:hAnsi="Arial"/>
                <w:sz w:val="20"/>
              </w:rPr>
              <w:t>GH-IJKLMN</w:t>
            </w:r>
            <w:r w:rsidR="00A54C9A" w:rsidRPr="00F00180">
              <w:rPr>
                <w:rFonts w:ascii="Arial" w:hAnsi="Arial"/>
                <w:sz w:val="20"/>
              </w:rPr>
              <w:t>.</w:t>
            </w:r>
          </w:p>
        </w:tc>
      </w:tr>
      <w:tr w:rsidR="00E23E84" w:rsidRPr="00502CE6" w14:paraId="22A331C8" w14:textId="77777777" w:rsidTr="00F00180">
        <w:tc>
          <w:tcPr>
            <w:tcW w:w="1271" w:type="dxa"/>
            <w:shd w:val="clear" w:color="auto" w:fill="auto"/>
          </w:tcPr>
          <w:p w14:paraId="46D00781" w14:textId="77777777" w:rsidR="00E23E84" w:rsidRPr="00F00180" w:rsidRDefault="00E23E84" w:rsidP="001351F2">
            <w:pPr>
              <w:rPr>
                <w:rFonts w:ascii="Arial" w:hAnsi="Arial"/>
                <w:sz w:val="20"/>
              </w:rPr>
            </w:pPr>
            <w:r w:rsidRPr="00F00180">
              <w:rPr>
                <w:rFonts w:ascii="Arial" w:hAnsi="Arial"/>
                <w:sz w:val="20"/>
              </w:rPr>
              <w:t>DA</w:t>
            </w:r>
          </w:p>
        </w:tc>
        <w:tc>
          <w:tcPr>
            <w:tcW w:w="8079" w:type="dxa"/>
            <w:shd w:val="clear" w:color="auto" w:fill="auto"/>
          </w:tcPr>
          <w:p w14:paraId="35BCAF70" w14:textId="77777777" w:rsidR="00E23E84" w:rsidRPr="00F00180" w:rsidRDefault="00E23E84" w:rsidP="001351F2">
            <w:pPr>
              <w:rPr>
                <w:rFonts w:ascii="Arial" w:hAnsi="Arial"/>
                <w:sz w:val="20"/>
              </w:rPr>
            </w:pPr>
            <w:r w:rsidRPr="00F00180">
              <w:rPr>
                <w:rFonts w:ascii="Arial" w:hAnsi="Arial"/>
                <w:sz w:val="20"/>
              </w:rPr>
              <w:t>Directory Assistance</w:t>
            </w:r>
          </w:p>
        </w:tc>
      </w:tr>
      <w:tr w:rsidR="00B75E6B" w:rsidRPr="00502CE6" w14:paraId="528C1519" w14:textId="77777777" w:rsidTr="00F00180">
        <w:tc>
          <w:tcPr>
            <w:tcW w:w="1271" w:type="dxa"/>
            <w:shd w:val="clear" w:color="auto" w:fill="auto"/>
          </w:tcPr>
          <w:p w14:paraId="69B9942E" w14:textId="77777777" w:rsidR="00B75E6B" w:rsidRPr="00F00180" w:rsidRDefault="00B75E6B" w:rsidP="001351F2">
            <w:pPr>
              <w:rPr>
                <w:rFonts w:ascii="Arial" w:hAnsi="Arial"/>
                <w:sz w:val="20"/>
              </w:rPr>
            </w:pPr>
            <w:r w:rsidRPr="00F00180">
              <w:rPr>
                <w:rFonts w:ascii="Arial" w:hAnsi="Arial"/>
                <w:sz w:val="20"/>
              </w:rPr>
              <w:t>DN</w:t>
            </w:r>
          </w:p>
        </w:tc>
        <w:tc>
          <w:tcPr>
            <w:tcW w:w="8079" w:type="dxa"/>
            <w:shd w:val="clear" w:color="auto" w:fill="auto"/>
          </w:tcPr>
          <w:p w14:paraId="0F769057" w14:textId="77777777" w:rsidR="00B75E6B" w:rsidRPr="00F00180" w:rsidRDefault="00B75E6B" w:rsidP="001351F2">
            <w:pPr>
              <w:rPr>
                <w:rFonts w:ascii="Arial" w:hAnsi="Arial"/>
                <w:sz w:val="20"/>
              </w:rPr>
            </w:pPr>
            <w:r w:rsidRPr="00F00180">
              <w:rPr>
                <w:rFonts w:ascii="Arial" w:hAnsi="Arial"/>
                <w:sz w:val="20"/>
              </w:rPr>
              <w:t>Destination Network</w:t>
            </w:r>
          </w:p>
        </w:tc>
      </w:tr>
      <w:tr w:rsidR="00150B51" w:rsidRPr="00502CE6" w14:paraId="02566AB6" w14:textId="77777777" w:rsidTr="00F00180">
        <w:tc>
          <w:tcPr>
            <w:tcW w:w="1271" w:type="dxa"/>
            <w:shd w:val="clear" w:color="auto" w:fill="auto"/>
          </w:tcPr>
          <w:p w14:paraId="63124276" w14:textId="77777777" w:rsidR="00150B51" w:rsidRPr="00F00180" w:rsidRDefault="00150B51" w:rsidP="001351F2">
            <w:pPr>
              <w:rPr>
                <w:rFonts w:ascii="Arial" w:hAnsi="Arial"/>
                <w:sz w:val="20"/>
              </w:rPr>
            </w:pPr>
            <w:r w:rsidRPr="00F00180">
              <w:rPr>
                <w:rFonts w:ascii="Arial" w:hAnsi="Arial"/>
                <w:sz w:val="20"/>
              </w:rPr>
              <w:t>E.164</w:t>
            </w:r>
          </w:p>
        </w:tc>
        <w:tc>
          <w:tcPr>
            <w:tcW w:w="8079" w:type="dxa"/>
            <w:shd w:val="clear" w:color="auto" w:fill="auto"/>
          </w:tcPr>
          <w:p w14:paraId="4E8C95AA" w14:textId="77777777" w:rsidR="00150B51" w:rsidRPr="00F00180" w:rsidRDefault="00150B51" w:rsidP="001351F2">
            <w:pPr>
              <w:rPr>
                <w:rFonts w:ascii="Arial" w:hAnsi="Arial"/>
                <w:sz w:val="20"/>
              </w:rPr>
            </w:pPr>
            <w:r w:rsidRPr="00F00180">
              <w:rPr>
                <w:rFonts w:ascii="Arial" w:hAnsi="Arial"/>
                <w:sz w:val="20"/>
              </w:rPr>
              <w:t>ITU numbering plan that ensures that each device on the PSTN has a globally unique number</w:t>
            </w:r>
            <w:r w:rsidR="0057353B" w:rsidRPr="00F00180">
              <w:rPr>
                <w:rFonts w:ascii="Arial" w:hAnsi="Arial"/>
                <w:sz w:val="20"/>
              </w:rPr>
              <w:t xml:space="preserve"> with a maximum 15 digits</w:t>
            </w:r>
          </w:p>
        </w:tc>
      </w:tr>
      <w:tr w:rsidR="009768E3" w:rsidRPr="00502CE6" w14:paraId="7FB6C6D3" w14:textId="77777777" w:rsidTr="00F00180">
        <w:tc>
          <w:tcPr>
            <w:tcW w:w="1271" w:type="dxa"/>
            <w:shd w:val="clear" w:color="auto" w:fill="auto"/>
          </w:tcPr>
          <w:p w14:paraId="48487453" w14:textId="77777777" w:rsidR="009768E3" w:rsidRPr="00F00180" w:rsidRDefault="009768E3" w:rsidP="001351F2">
            <w:pPr>
              <w:rPr>
                <w:rFonts w:ascii="Arial" w:hAnsi="Arial"/>
                <w:sz w:val="20"/>
              </w:rPr>
            </w:pPr>
            <w:r w:rsidRPr="00F00180">
              <w:rPr>
                <w:rFonts w:ascii="Arial" w:hAnsi="Arial"/>
                <w:sz w:val="20"/>
              </w:rPr>
              <w:t>ESRD</w:t>
            </w:r>
          </w:p>
        </w:tc>
        <w:tc>
          <w:tcPr>
            <w:tcW w:w="8079" w:type="dxa"/>
            <w:shd w:val="clear" w:color="auto" w:fill="auto"/>
          </w:tcPr>
          <w:p w14:paraId="1EA37471" w14:textId="77777777" w:rsidR="009768E3" w:rsidRPr="00F00180" w:rsidRDefault="009768E3" w:rsidP="001351F2">
            <w:pPr>
              <w:rPr>
                <w:rFonts w:ascii="Arial" w:hAnsi="Arial"/>
                <w:sz w:val="20"/>
              </w:rPr>
            </w:pPr>
            <w:r w:rsidRPr="00F00180">
              <w:rPr>
                <w:rFonts w:ascii="Arial" w:hAnsi="Arial"/>
                <w:sz w:val="20"/>
              </w:rPr>
              <w:t>Emergency Service Routing Digits</w:t>
            </w:r>
          </w:p>
        </w:tc>
      </w:tr>
      <w:tr w:rsidR="008A2E57" w:rsidRPr="00502CE6" w14:paraId="225494CB" w14:textId="77777777" w:rsidTr="00F00180">
        <w:tc>
          <w:tcPr>
            <w:tcW w:w="1271" w:type="dxa"/>
            <w:shd w:val="clear" w:color="auto" w:fill="auto"/>
          </w:tcPr>
          <w:p w14:paraId="21F67A33" w14:textId="77777777" w:rsidR="008A2E57" w:rsidRPr="00F00180" w:rsidRDefault="008A2E57" w:rsidP="001351F2">
            <w:pPr>
              <w:rPr>
                <w:rFonts w:ascii="Arial" w:hAnsi="Arial"/>
                <w:sz w:val="20"/>
              </w:rPr>
            </w:pPr>
            <w:r w:rsidRPr="00F00180">
              <w:rPr>
                <w:rFonts w:ascii="Arial" w:hAnsi="Arial"/>
                <w:sz w:val="20"/>
              </w:rPr>
              <w:t>GPSI</w:t>
            </w:r>
          </w:p>
        </w:tc>
        <w:tc>
          <w:tcPr>
            <w:tcW w:w="8079" w:type="dxa"/>
            <w:shd w:val="clear" w:color="auto" w:fill="auto"/>
          </w:tcPr>
          <w:p w14:paraId="07BABF96" w14:textId="77777777" w:rsidR="008A2E57" w:rsidRPr="00F00180" w:rsidRDefault="008A2E57" w:rsidP="001351F2">
            <w:pPr>
              <w:rPr>
                <w:rFonts w:ascii="Arial" w:hAnsi="Arial"/>
                <w:sz w:val="20"/>
              </w:rPr>
            </w:pPr>
            <w:r w:rsidRPr="00F00180">
              <w:rPr>
                <w:rFonts w:ascii="Arial" w:hAnsi="Arial"/>
                <w:sz w:val="20"/>
              </w:rPr>
              <w:t>Generic Public Subscription Identifier</w:t>
            </w:r>
          </w:p>
        </w:tc>
      </w:tr>
      <w:tr w:rsidR="00A84705" w:rsidRPr="00502CE6" w14:paraId="57B1CAC9" w14:textId="77777777" w:rsidTr="00F00180">
        <w:tc>
          <w:tcPr>
            <w:tcW w:w="1271" w:type="dxa"/>
            <w:shd w:val="clear" w:color="auto" w:fill="auto"/>
          </w:tcPr>
          <w:p w14:paraId="21DCE52C" w14:textId="77777777" w:rsidR="00A84705" w:rsidRPr="00F00180" w:rsidRDefault="00A84705" w:rsidP="001351F2">
            <w:pPr>
              <w:rPr>
                <w:rFonts w:ascii="Arial" w:hAnsi="Arial"/>
                <w:sz w:val="20"/>
              </w:rPr>
            </w:pPr>
            <w:r w:rsidRPr="00F00180">
              <w:rPr>
                <w:rFonts w:ascii="Arial" w:hAnsi="Arial"/>
                <w:sz w:val="20"/>
              </w:rPr>
              <w:t>GSMA</w:t>
            </w:r>
          </w:p>
        </w:tc>
        <w:tc>
          <w:tcPr>
            <w:tcW w:w="8079" w:type="dxa"/>
            <w:shd w:val="clear" w:color="auto" w:fill="auto"/>
          </w:tcPr>
          <w:p w14:paraId="32509004" w14:textId="77777777" w:rsidR="00A84705" w:rsidRPr="00F00180" w:rsidRDefault="00A84705" w:rsidP="001351F2">
            <w:pPr>
              <w:rPr>
                <w:rFonts w:ascii="Arial" w:hAnsi="Arial"/>
                <w:sz w:val="20"/>
              </w:rPr>
            </w:pPr>
            <w:r w:rsidRPr="00F00180">
              <w:rPr>
                <w:rFonts w:ascii="Arial" w:hAnsi="Arial"/>
                <w:sz w:val="20"/>
              </w:rPr>
              <w:t>Global System for Mobile Communications Association</w:t>
            </w:r>
          </w:p>
        </w:tc>
      </w:tr>
      <w:tr w:rsidR="003B6676" w:rsidRPr="00502CE6" w14:paraId="31D8F858" w14:textId="77777777" w:rsidTr="00F00180">
        <w:tc>
          <w:tcPr>
            <w:tcW w:w="1271" w:type="dxa"/>
            <w:shd w:val="clear" w:color="auto" w:fill="auto"/>
          </w:tcPr>
          <w:p w14:paraId="5ABD58FC" w14:textId="77777777" w:rsidR="003B6676" w:rsidRPr="00F00180" w:rsidRDefault="003B6676" w:rsidP="001351F2">
            <w:pPr>
              <w:rPr>
                <w:rFonts w:ascii="Arial" w:hAnsi="Arial"/>
                <w:sz w:val="20"/>
              </w:rPr>
            </w:pPr>
            <w:r w:rsidRPr="00F00180">
              <w:rPr>
                <w:rFonts w:ascii="Arial" w:hAnsi="Arial"/>
                <w:sz w:val="20"/>
              </w:rPr>
              <w:t>IETF</w:t>
            </w:r>
          </w:p>
        </w:tc>
        <w:tc>
          <w:tcPr>
            <w:tcW w:w="8079" w:type="dxa"/>
            <w:shd w:val="clear" w:color="auto" w:fill="auto"/>
          </w:tcPr>
          <w:p w14:paraId="2D0B9ED4" w14:textId="77777777" w:rsidR="003B6676" w:rsidRPr="00F00180" w:rsidRDefault="003B6676" w:rsidP="001351F2">
            <w:pPr>
              <w:rPr>
                <w:rFonts w:ascii="Arial" w:hAnsi="Arial"/>
                <w:sz w:val="20"/>
              </w:rPr>
            </w:pPr>
            <w:r w:rsidRPr="00F00180">
              <w:rPr>
                <w:rFonts w:ascii="Arial" w:hAnsi="Arial"/>
                <w:sz w:val="20"/>
              </w:rPr>
              <w:t>Internet Engineering Task Force</w:t>
            </w:r>
          </w:p>
        </w:tc>
      </w:tr>
      <w:tr w:rsidR="008A5E59" w:rsidRPr="00502CE6" w14:paraId="78EE1A2A" w14:textId="77777777" w:rsidTr="00F00180">
        <w:tc>
          <w:tcPr>
            <w:tcW w:w="1271" w:type="dxa"/>
            <w:shd w:val="clear" w:color="auto" w:fill="auto"/>
          </w:tcPr>
          <w:p w14:paraId="6BBC0CD3" w14:textId="77777777" w:rsidR="008A5E59" w:rsidRPr="00F00180" w:rsidRDefault="008A5E59" w:rsidP="001351F2">
            <w:pPr>
              <w:rPr>
                <w:rFonts w:ascii="Arial" w:hAnsi="Arial"/>
                <w:sz w:val="20"/>
              </w:rPr>
            </w:pPr>
            <w:r w:rsidRPr="00F00180">
              <w:rPr>
                <w:rFonts w:ascii="Arial" w:hAnsi="Arial"/>
                <w:sz w:val="20"/>
              </w:rPr>
              <w:t>ILEC</w:t>
            </w:r>
          </w:p>
        </w:tc>
        <w:tc>
          <w:tcPr>
            <w:tcW w:w="8079" w:type="dxa"/>
            <w:shd w:val="clear" w:color="auto" w:fill="auto"/>
          </w:tcPr>
          <w:p w14:paraId="2844F816" w14:textId="77777777" w:rsidR="008A5E59" w:rsidRPr="00F00180" w:rsidRDefault="008A5E59" w:rsidP="001351F2">
            <w:pPr>
              <w:rPr>
                <w:rFonts w:ascii="Arial" w:hAnsi="Arial"/>
                <w:sz w:val="20"/>
              </w:rPr>
            </w:pPr>
            <w:r w:rsidRPr="00F00180">
              <w:rPr>
                <w:rFonts w:ascii="Arial" w:hAnsi="Arial"/>
                <w:sz w:val="20"/>
              </w:rPr>
              <w:t>Incumbent Local Exchange Carrier</w:t>
            </w:r>
          </w:p>
        </w:tc>
      </w:tr>
      <w:tr w:rsidR="0035415E" w:rsidRPr="00502CE6" w14:paraId="23D277FD" w14:textId="77777777" w:rsidTr="00F00180">
        <w:tc>
          <w:tcPr>
            <w:tcW w:w="1271" w:type="dxa"/>
            <w:shd w:val="clear" w:color="auto" w:fill="auto"/>
          </w:tcPr>
          <w:p w14:paraId="616EA39C" w14:textId="77777777" w:rsidR="0035415E" w:rsidRPr="00F00180" w:rsidRDefault="0035415E" w:rsidP="001351F2">
            <w:pPr>
              <w:rPr>
                <w:rFonts w:ascii="Arial" w:hAnsi="Arial"/>
                <w:sz w:val="20"/>
              </w:rPr>
            </w:pPr>
            <w:r w:rsidRPr="00F00180">
              <w:rPr>
                <w:rFonts w:ascii="Arial" w:hAnsi="Arial"/>
                <w:sz w:val="20"/>
              </w:rPr>
              <w:t>IMSI</w:t>
            </w:r>
          </w:p>
        </w:tc>
        <w:tc>
          <w:tcPr>
            <w:tcW w:w="8079" w:type="dxa"/>
            <w:shd w:val="clear" w:color="auto" w:fill="auto"/>
          </w:tcPr>
          <w:p w14:paraId="6C87764E" w14:textId="77777777" w:rsidR="0035415E" w:rsidRPr="00F00180" w:rsidRDefault="0035415E" w:rsidP="001351F2">
            <w:pPr>
              <w:rPr>
                <w:rFonts w:ascii="Arial" w:hAnsi="Arial"/>
                <w:sz w:val="20"/>
              </w:rPr>
            </w:pPr>
            <w:r w:rsidRPr="00F00180">
              <w:rPr>
                <w:rFonts w:ascii="Arial" w:hAnsi="Arial"/>
                <w:sz w:val="20"/>
              </w:rPr>
              <w:t>International Mobile Subscriber Identity</w:t>
            </w:r>
          </w:p>
        </w:tc>
      </w:tr>
      <w:tr w:rsidR="008A5E59" w:rsidRPr="00502CE6" w14:paraId="78365B0A" w14:textId="77777777" w:rsidTr="00F00180">
        <w:tc>
          <w:tcPr>
            <w:tcW w:w="1271" w:type="dxa"/>
            <w:shd w:val="clear" w:color="auto" w:fill="auto"/>
          </w:tcPr>
          <w:p w14:paraId="5C51DCE1" w14:textId="77777777" w:rsidR="008A5E59" w:rsidRPr="00F00180" w:rsidRDefault="008A5E59" w:rsidP="001351F2">
            <w:pPr>
              <w:rPr>
                <w:rFonts w:ascii="Arial" w:hAnsi="Arial"/>
                <w:sz w:val="20"/>
              </w:rPr>
            </w:pPr>
            <w:r w:rsidRPr="00F00180">
              <w:rPr>
                <w:rFonts w:ascii="Arial" w:hAnsi="Arial"/>
                <w:sz w:val="20"/>
              </w:rPr>
              <w:lastRenderedPageBreak/>
              <w:t>INC</w:t>
            </w:r>
          </w:p>
        </w:tc>
        <w:tc>
          <w:tcPr>
            <w:tcW w:w="8079" w:type="dxa"/>
            <w:shd w:val="clear" w:color="auto" w:fill="auto"/>
          </w:tcPr>
          <w:p w14:paraId="4B9397E0" w14:textId="77777777" w:rsidR="008A5E59" w:rsidRPr="00F00180" w:rsidRDefault="008A5E59" w:rsidP="001351F2">
            <w:pPr>
              <w:rPr>
                <w:rFonts w:ascii="Arial" w:hAnsi="Arial"/>
                <w:sz w:val="20"/>
              </w:rPr>
            </w:pPr>
            <w:r w:rsidRPr="00F00180">
              <w:rPr>
                <w:rFonts w:ascii="Arial" w:hAnsi="Arial"/>
                <w:sz w:val="20"/>
              </w:rPr>
              <w:t>NANP Industry Numbering Committee</w:t>
            </w:r>
          </w:p>
        </w:tc>
      </w:tr>
      <w:tr w:rsidR="008A5E59" w:rsidRPr="00502CE6" w14:paraId="1E4BAB0C" w14:textId="77777777" w:rsidTr="00F00180">
        <w:tc>
          <w:tcPr>
            <w:tcW w:w="1271" w:type="dxa"/>
          </w:tcPr>
          <w:p w14:paraId="584F99B3" w14:textId="77777777" w:rsidR="008A5E59" w:rsidRPr="00F00180" w:rsidRDefault="008A5E59" w:rsidP="001351F2">
            <w:pPr>
              <w:rPr>
                <w:rFonts w:ascii="Arial" w:hAnsi="Arial"/>
                <w:sz w:val="20"/>
              </w:rPr>
            </w:pPr>
            <w:r w:rsidRPr="00F00180">
              <w:rPr>
                <w:rFonts w:ascii="Arial" w:hAnsi="Arial"/>
                <w:sz w:val="20"/>
              </w:rPr>
              <w:t>IoT</w:t>
            </w:r>
          </w:p>
        </w:tc>
        <w:tc>
          <w:tcPr>
            <w:tcW w:w="8079" w:type="dxa"/>
          </w:tcPr>
          <w:p w14:paraId="00C846AA" w14:textId="77777777" w:rsidR="008A5E59" w:rsidRPr="00F00180" w:rsidRDefault="008A5E59" w:rsidP="001351F2">
            <w:pPr>
              <w:rPr>
                <w:rFonts w:ascii="Arial" w:hAnsi="Arial"/>
                <w:sz w:val="20"/>
              </w:rPr>
            </w:pPr>
            <w:r w:rsidRPr="00F00180">
              <w:rPr>
                <w:rFonts w:ascii="Arial" w:hAnsi="Arial"/>
                <w:sz w:val="20"/>
              </w:rPr>
              <w:t>Internet of Things (</w:t>
            </w:r>
            <w:r w:rsidR="0057353B" w:rsidRPr="00F00180">
              <w:rPr>
                <w:rFonts w:ascii="Arial" w:hAnsi="Arial"/>
                <w:sz w:val="20"/>
              </w:rPr>
              <w:t>also,</w:t>
            </w:r>
            <w:r w:rsidRPr="00F00180">
              <w:rPr>
                <w:rFonts w:ascii="Arial" w:hAnsi="Arial"/>
                <w:sz w:val="20"/>
              </w:rPr>
              <w:t xml:space="preserve"> M2M)</w:t>
            </w:r>
          </w:p>
        </w:tc>
      </w:tr>
      <w:tr w:rsidR="0008174D" w:rsidRPr="00502CE6" w14:paraId="7B017AAA" w14:textId="77777777" w:rsidTr="00F00180">
        <w:tc>
          <w:tcPr>
            <w:tcW w:w="1271" w:type="dxa"/>
          </w:tcPr>
          <w:p w14:paraId="57EDA32E" w14:textId="77777777" w:rsidR="0008174D" w:rsidRPr="00F00180" w:rsidRDefault="0008174D" w:rsidP="001351F2">
            <w:pPr>
              <w:rPr>
                <w:rFonts w:ascii="Arial" w:hAnsi="Arial"/>
                <w:sz w:val="20"/>
              </w:rPr>
            </w:pPr>
            <w:r w:rsidRPr="00F00180">
              <w:rPr>
                <w:rFonts w:ascii="Arial" w:hAnsi="Arial"/>
                <w:sz w:val="20"/>
              </w:rPr>
              <w:t>IMSI</w:t>
            </w:r>
          </w:p>
        </w:tc>
        <w:tc>
          <w:tcPr>
            <w:tcW w:w="8079" w:type="dxa"/>
          </w:tcPr>
          <w:p w14:paraId="529A0D6A" w14:textId="77777777" w:rsidR="0008174D" w:rsidRPr="00F00180" w:rsidRDefault="0008174D" w:rsidP="001351F2">
            <w:pPr>
              <w:rPr>
                <w:rFonts w:ascii="Arial" w:hAnsi="Arial"/>
                <w:sz w:val="20"/>
              </w:rPr>
            </w:pPr>
            <w:r w:rsidRPr="00F00180">
              <w:rPr>
                <w:rFonts w:ascii="Arial" w:hAnsi="Arial"/>
                <w:sz w:val="20"/>
              </w:rPr>
              <w:t>International Mobile Subscriber Identity</w:t>
            </w:r>
          </w:p>
        </w:tc>
      </w:tr>
      <w:tr w:rsidR="00585114" w:rsidRPr="00502CE6" w14:paraId="2F6A2C9C" w14:textId="77777777" w:rsidTr="00F00180">
        <w:tc>
          <w:tcPr>
            <w:tcW w:w="1271" w:type="dxa"/>
          </w:tcPr>
          <w:p w14:paraId="02CBBFD3" w14:textId="77777777" w:rsidR="00585114" w:rsidRPr="00F00180" w:rsidRDefault="00585114" w:rsidP="001351F2">
            <w:pPr>
              <w:rPr>
                <w:rFonts w:ascii="Arial" w:hAnsi="Arial"/>
                <w:sz w:val="20"/>
              </w:rPr>
            </w:pPr>
            <w:r w:rsidRPr="00F00180">
              <w:rPr>
                <w:rFonts w:ascii="Arial" w:hAnsi="Arial"/>
                <w:sz w:val="20"/>
              </w:rPr>
              <w:t>IP</w:t>
            </w:r>
          </w:p>
        </w:tc>
        <w:tc>
          <w:tcPr>
            <w:tcW w:w="8079" w:type="dxa"/>
          </w:tcPr>
          <w:p w14:paraId="5D8AC310" w14:textId="77777777" w:rsidR="00585114" w:rsidRPr="00F00180" w:rsidRDefault="00585114" w:rsidP="001351F2">
            <w:pPr>
              <w:rPr>
                <w:rFonts w:ascii="Arial" w:hAnsi="Arial"/>
                <w:sz w:val="20"/>
              </w:rPr>
            </w:pPr>
            <w:r w:rsidRPr="00F00180">
              <w:rPr>
                <w:rFonts w:ascii="Arial" w:hAnsi="Arial"/>
                <w:sz w:val="20"/>
              </w:rPr>
              <w:t>Internet Protocol</w:t>
            </w:r>
          </w:p>
        </w:tc>
      </w:tr>
      <w:tr w:rsidR="00572FDA" w:rsidRPr="00502CE6" w14:paraId="295FECB5" w14:textId="77777777" w:rsidTr="00F00180">
        <w:tc>
          <w:tcPr>
            <w:tcW w:w="1271" w:type="dxa"/>
          </w:tcPr>
          <w:p w14:paraId="173E2774" w14:textId="77777777" w:rsidR="00572FDA" w:rsidRPr="00F00180" w:rsidRDefault="00572FDA" w:rsidP="001351F2">
            <w:pPr>
              <w:rPr>
                <w:rFonts w:ascii="Arial" w:hAnsi="Arial"/>
                <w:sz w:val="20"/>
              </w:rPr>
            </w:pPr>
            <w:r w:rsidRPr="00F00180">
              <w:rPr>
                <w:rFonts w:ascii="Arial" w:hAnsi="Arial"/>
                <w:sz w:val="20"/>
              </w:rPr>
              <w:t>IS</w:t>
            </w:r>
          </w:p>
        </w:tc>
        <w:tc>
          <w:tcPr>
            <w:tcW w:w="8079" w:type="dxa"/>
          </w:tcPr>
          <w:p w14:paraId="467C4B42" w14:textId="77777777" w:rsidR="00572FDA" w:rsidRPr="00F00180" w:rsidRDefault="00572FDA" w:rsidP="001351F2">
            <w:pPr>
              <w:rPr>
                <w:rFonts w:ascii="Arial" w:hAnsi="Arial"/>
                <w:sz w:val="20"/>
              </w:rPr>
            </w:pPr>
            <w:r w:rsidRPr="00F00180">
              <w:rPr>
                <w:rFonts w:ascii="Arial" w:hAnsi="Arial"/>
                <w:sz w:val="20"/>
              </w:rPr>
              <w:t>Information System</w:t>
            </w:r>
          </w:p>
        </w:tc>
      </w:tr>
      <w:tr w:rsidR="008A5E59" w:rsidRPr="00502CE6" w14:paraId="09BC1817" w14:textId="77777777" w:rsidTr="00F00180">
        <w:tc>
          <w:tcPr>
            <w:tcW w:w="1271" w:type="dxa"/>
          </w:tcPr>
          <w:p w14:paraId="6008AB67" w14:textId="77777777" w:rsidR="008A5E59" w:rsidRPr="00F00180" w:rsidRDefault="008A5E59" w:rsidP="001351F2">
            <w:pPr>
              <w:rPr>
                <w:rFonts w:ascii="Arial" w:hAnsi="Arial"/>
                <w:sz w:val="20"/>
              </w:rPr>
            </w:pPr>
            <w:r w:rsidRPr="00F00180">
              <w:rPr>
                <w:rFonts w:ascii="Arial" w:hAnsi="Arial"/>
                <w:sz w:val="20"/>
              </w:rPr>
              <w:t>IT</w:t>
            </w:r>
          </w:p>
        </w:tc>
        <w:tc>
          <w:tcPr>
            <w:tcW w:w="8079" w:type="dxa"/>
          </w:tcPr>
          <w:p w14:paraId="47A46B7B" w14:textId="77777777" w:rsidR="008A5E59" w:rsidRPr="00F00180" w:rsidRDefault="008A5E59" w:rsidP="001351F2">
            <w:pPr>
              <w:rPr>
                <w:rFonts w:ascii="Arial" w:hAnsi="Arial"/>
                <w:sz w:val="20"/>
              </w:rPr>
            </w:pPr>
            <w:r w:rsidRPr="00F00180">
              <w:rPr>
                <w:rFonts w:ascii="Arial" w:hAnsi="Arial"/>
                <w:sz w:val="20"/>
              </w:rPr>
              <w:t>Information Technology</w:t>
            </w:r>
          </w:p>
        </w:tc>
      </w:tr>
      <w:tr w:rsidR="008A5E59" w:rsidRPr="00502CE6" w14:paraId="39C42773" w14:textId="77777777" w:rsidTr="00F00180">
        <w:tc>
          <w:tcPr>
            <w:tcW w:w="1271" w:type="dxa"/>
          </w:tcPr>
          <w:p w14:paraId="0FF4EBFF" w14:textId="77777777" w:rsidR="008A5E59" w:rsidRPr="00F00180" w:rsidRDefault="008A5E59" w:rsidP="001351F2">
            <w:pPr>
              <w:rPr>
                <w:rFonts w:ascii="Arial" w:hAnsi="Arial"/>
                <w:sz w:val="20"/>
              </w:rPr>
            </w:pPr>
            <w:r w:rsidRPr="00F00180">
              <w:rPr>
                <w:rFonts w:ascii="Arial" w:hAnsi="Arial"/>
                <w:sz w:val="20"/>
              </w:rPr>
              <w:t>ITU</w:t>
            </w:r>
          </w:p>
        </w:tc>
        <w:tc>
          <w:tcPr>
            <w:tcW w:w="8079" w:type="dxa"/>
          </w:tcPr>
          <w:p w14:paraId="420E4D9C" w14:textId="77777777" w:rsidR="008A5E59" w:rsidRPr="00F00180" w:rsidRDefault="008A5E59" w:rsidP="001351F2">
            <w:pPr>
              <w:rPr>
                <w:rFonts w:ascii="Arial" w:hAnsi="Arial"/>
                <w:sz w:val="20"/>
              </w:rPr>
            </w:pPr>
            <w:r w:rsidRPr="00F00180">
              <w:rPr>
                <w:rFonts w:ascii="Arial" w:hAnsi="Arial"/>
                <w:sz w:val="20"/>
              </w:rPr>
              <w:t>International Telecommunications Union</w:t>
            </w:r>
          </w:p>
        </w:tc>
      </w:tr>
      <w:tr w:rsidR="00585114" w:rsidRPr="00502CE6" w14:paraId="453B2483" w14:textId="77777777" w:rsidTr="00F00180">
        <w:tc>
          <w:tcPr>
            <w:tcW w:w="1271" w:type="dxa"/>
          </w:tcPr>
          <w:p w14:paraId="352A2F16" w14:textId="77777777" w:rsidR="00585114" w:rsidRPr="00F00180" w:rsidRDefault="00585114" w:rsidP="001351F2">
            <w:pPr>
              <w:rPr>
                <w:rFonts w:ascii="Arial" w:hAnsi="Arial"/>
                <w:sz w:val="20"/>
              </w:rPr>
            </w:pPr>
            <w:r w:rsidRPr="00F00180">
              <w:rPr>
                <w:rFonts w:ascii="Arial" w:hAnsi="Arial"/>
                <w:sz w:val="20"/>
              </w:rPr>
              <w:t>LERG</w:t>
            </w:r>
          </w:p>
        </w:tc>
        <w:tc>
          <w:tcPr>
            <w:tcW w:w="8079" w:type="dxa"/>
          </w:tcPr>
          <w:p w14:paraId="2E5D1D55" w14:textId="77777777" w:rsidR="00585114" w:rsidRPr="00F00180" w:rsidRDefault="00585114" w:rsidP="001351F2">
            <w:pPr>
              <w:rPr>
                <w:rFonts w:ascii="Arial" w:hAnsi="Arial"/>
                <w:sz w:val="20"/>
              </w:rPr>
            </w:pPr>
            <w:r w:rsidRPr="00F00180">
              <w:rPr>
                <w:rFonts w:ascii="Arial" w:hAnsi="Arial"/>
                <w:sz w:val="20"/>
              </w:rPr>
              <w:t>Local Exchange Routing Guide</w:t>
            </w:r>
          </w:p>
        </w:tc>
      </w:tr>
      <w:tr w:rsidR="00717378" w:rsidRPr="00502CE6" w14:paraId="78D8A72B" w14:textId="77777777" w:rsidTr="00F00180">
        <w:tc>
          <w:tcPr>
            <w:tcW w:w="1271" w:type="dxa"/>
          </w:tcPr>
          <w:p w14:paraId="08F49F3E" w14:textId="77777777" w:rsidR="00717378" w:rsidRPr="00F00180" w:rsidRDefault="00717378" w:rsidP="001351F2">
            <w:pPr>
              <w:rPr>
                <w:rFonts w:ascii="Arial" w:hAnsi="Arial"/>
                <w:sz w:val="20"/>
              </w:rPr>
            </w:pPr>
            <w:r w:rsidRPr="00F00180">
              <w:rPr>
                <w:rFonts w:ascii="Arial" w:hAnsi="Arial"/>
                <w:sz w:val="20"/>
              </w:rPr>
              <w:t>LNP</w:t>
            </w:r>
          </w:p>
        </w:tc>
        <w:tc>
          <w:tcPr>
            <w:tcW w:w="8079" w:type="dxa"/>
          </w:tcPr>
          <w:p w14:paraId="2B8DC559" w14:textId="77777777" w:rsidR="00717378" w:rsidRPr="00F00180" w:rsidRDefault="00717378" w:rsidP="001351F2">
            <w:pPr>
              <w:rPr>
                <w:rFonts w:ascii="Arial" w:hAnsi="Arial"/>
                <w:sz w:val="20"/>
              </w:rPr>
            </w:pPr>
            <w:r w:rsidRPr="00F00180">
              <w:rPr>
                <w:rFonts w:ascii="Arial" w:hAnsi="Arial"/>
                <w:sz w:val="20"/>
              </w:rPr>
              <w:t>Local telephone Number Portability</w:t>
            </w:r>
          </w:p>
        </w:tc>
      </w:tr>
      <w:tr w:rsidR="008A5E59" w:rsidRPr="00502CE6" w14:paraId="58298AF8" w14:textId="77777777" w:rsidTr="00F00180">
        <w:tc>
          <w:tcPr>
            <w:tcW w:w="1271" w:type="dxa"/>
          </w:tcPr>
          <w:p w14:paraId="2A921389" w14:textId="77777777" w:rsidR="008A5E59" w:rsidRPr="00F00180" w:rsidRDefault="008A5E59" w:rsidP="001351F2">
            <w:pPr>
              <w:rPr>
                <w:rFonts w:ascii="Arial" w:hAnsi="Arial"/>
                <w:sz w:val="20"/>
              </w:rPr>
            </w:pPr>
            <w:r w:rsidRPr="00F00180">
              <w:rPr>
                <w:rFonts w:ascii="Arial" w:hAnsi="Arial"/>
                <w:sz w:val="20"/>
              </w:rPr>
              <w:t>M2M</w:t>
            </w:r>
          </w:p>
        </w:tc>
        <w:tc>
          <w:tcPr>
            <w:tcW w:w="8079" w:type="dxa"/>
          </w:tcPr>
          <w:p w14:paraId="41042C70" w14:textId="77777777" w:rsidR="008A5E59" w:rsidRPr="00F00180" w:rsidRDefault="008A5E59" w:rsidP="001351F2">
            <w:pPr>
              <w:rPr>
                <w:rFonts w:ascii="Arial" w:hAnsi="Arial"/>
                <w:sz w:val="20"/>
              </w:rPr>
            </w:pPr>
            <w:r w:rsidRPr="00F00180">
              <w:rPr>
                <w:rFonts w:ascii="Arial" w:hAnsi="Arial"/>
                <w:sz w:val="20"/>
              </w:rPr>
              <w:t>Machine to Machine</w:t>
            </w:r>
          </w:p>
        </w:tc>
      </w:tr>
      <w:tr w:rsidR="00065133" w:rsidRPr="00502CE6" w14:paraId="334E0751" w14:textId="77777777" w:rsidTr="00F00180">
        <w:tc>
          <w:tcPr>
            <w:tcW w:w="1271" w:type="dxa"/>
          </w:tcPr>
          <w:p w14:paraId="4CC53478" w14:textId="77777777" w:rsidR="00065133" w:rsidRPr="00F00180" w:rsidRDefault="00065133" w:rsidP="001351F2">
            <w:pPr>
              <w:rPr>
                <w:rFonts w:ascii="Arial" w:hAnsi="Arial"/>
                <w:sz w:val="20"/>
              </w:rPr>
            </w:pPr>
            <w:r w:rsidRPr="00F00180">
              <w:rPr>
                <w:rFonts w:ascii="Arial" w:hAnsi="Arial"/>
                <w:sz w:val="20"/>
              </w:rPr>
              <w:t>MSISDN</w:t>
            </w:r>
          </w:p>
        </w:tc>
        <w:tc>
          <w:tcPr>
            <w:tcW w:w="8079" w:type="dxa"/>
          </w:tcPr>
          <w:p w14:paraId="447ABA68" w14:textId="77777777" w:rsidR="00065133" w:rsidRPr="00F00180" w:rsidRDefault="0057353B" w:rsidP="001351F2">
            <w:pPr>
              <w:rPr>
                <w:rFonts w:ascii="Arial" w:hAnsi="Arial"/>
                <w:sz w:val="20"/>
              </w:rPr>
            </w:pPr>
            <w:r w:rsidRPr="00F00180">
              <w:rPr>
                <w:rFonts w:ascii="Arial" w:hAnsi="Arial"/>
                <w:sz w:val="20"/>
              </w:rPr>
              <w:t>Mobile Station International Subscriber Directory Number</w:t>
            </w:r>
          </w:p>
        </w:tc>
      </w:tr>
      <w:tr w:rsidR="008A5E59" w:rsidRPr="00502CE6" w14:paraId="0CAC4B1F" w14:textId="77777777" w:rsidTr="00F00180">
        <w:tc>
          <w:tcPr>
            <w:tcW w:w="1271" w:type="dxa"/>
          </w:tcPr>
          <w:p w14:paraId="537B789B" w14:textId="77777777" w:rsidR="008A5E59" w:rsidRPr="00F00180" w:rsidRDefault="008A5E59" w:rsidP="001351F2">
            <w:pPr>
              <w:rPr>
                <w:rFonts w:ascii="Arial" w:hAnsi="Arial"/>
                <w:sz w:val="20"/>
              </w:rPr>
            </w:pPr>
            <w:r w:rsidRPr="00F00180">
              <w:rPr>
                <w:rFonts w:ascii="Arial" w:hAnsi="Arial"/>
                <w:sz w:val="20"/>
              </w:rPr>
              <w:t>N</w:t>
            </w:r>
          </w:p>
        </w:tc>
        <w:tc>
          <w:tcPr>
            <w:tcW w:w="8079" w:type="dxa"/>
          </w:tcPr>
          <w:p w14:paraId="42CEA567" w14:textId="77777777" w:rsidR="008A5E59" w:rsidRPr="00F00180" w:rsidRDefault="008A5E59" w:rsidP="001351F2">
            <w:pPr>
              <w:rPr>
                <w:rFonts w:ascii="Arial" w:hAnsi="Arial"/>
                <w:sz w:val="20"/>
              </w:rPr>
            </w:pPr>
            <w:r w:rsidRPr="00F00180">
              <w:rPr>
                <w:rFonts w:ascii="Arial" w:hAnsi="Arial"/>
                <w:sz w:val="20"/>
              </w:rPr>
              <w:t>A digit in a telephone number where N = 2 to 9.</w:t>
            </w:r>
          </w:p>
        </w:tc>
      </w:tr>
      <w:tr w:rsidR="008A5E59" w:rsidRPr="00502CE6" w14:paraId="25866C83" w14:textId="77777777" w:rsidTr="00F00180">
        <w:tc>
          <w:tcPr>
            <w:tcW w:w="1271" w:type="dxa"/>
          </w:tcPr>
          <w:p w14:paraId="48CA8A8D" w14:textId="77777777" w:rsidR="008A5E59" w:rsidRPr="00F00180" w:rsidRDefault="008A5E59" w:rsidP="001351F2">
            <w:pPr>
              <w:rPr>
                <w:rFonts w:ascii="Arial" w:hAnsi="Arial"/>
                <w:sz w:val="20"/>
              </w:rPr>
            </w:pPr>
            <w:r w:rsidRPr="00F00180">
              <w:rPr>
                <w:rFonts w:ascii="Arial" w:hAnsi="Arial"/>
                <w:sz w:val="20"/>
              </w:rPr>
              <w:t>NANP</w:t>
            </w:r>
          </w:p>
        </w:tc>
        <w:tc>
          <w:tcPr>
            <w:tcW w:w="8079" w:type="dxa"/>
          </w:tcPr>
          <w:p w14:paraId="1D321619" w14:textId="77777777" w:rsidR="008A5E59" w:rsidRPr="00F00180" w:rsidRDefault="008A5E59" w:rsidP="001351F2">
            <w:pPr>
              <w:rPr>
                <w:rFonts w:ascii="Arial" w:hAnsi="Arial"/>
                <w:sz w:val="20"/>
              </w:rPr>
            </w:pPr>
            <w:r w:rsidRPr="00F00180">
              <w:rPr>
                <w:rFonts w:ascii="Arial" w:hAnsi="Arial"/>
                <w:sz w:val="20"/>
              </w:rPr>
              <w:t>North American Numbering Plan</w:t>
            </w:r>
          </w:p>
        </w:tc>
      </w:tr>
      <w:tr w:rsidR="008A5E59" w:rsidRPr="00502CE6" w14:paraId="61813B71" w14:textId="77777777" w:rsidTr="00F00180">
        <w:tc>
          <w:tcPr>
            <w:tcW w:w="1271" w:type="dxa"/>
          </w:tcPr>
          <w:p w14:paraId="30FDB69B" w14:textId="77777777" w:rsidR="008A5E59" w:rsidRPr="00F00180" w:rsidRDefault="008A5E59" w:rsidP="001351F2">
            <w:pPr>
              <w:rPr>
                <w:rFonts w:ascii="Arial" w:hAnsi="Arial"/>
                <w:sz w:val="20"/>
              </w:rPr>
            </w:pPr>
            <w:r w:rsidRPr="00F00180">
              <w:rPr>
                <w:rFonts w:ascii="Arial" w:hAnsi="Arial"/>
                <w:sz w:val="20"/>
              </w:rPr>
              <w:t>NANPA</w:t>
            </w:r>
          </w:p>
        </w:tc>
        <w:tc>
          <w:tcPr>
            <w:tcW w:w="8079" w:type="dxa"/>
          </w:tcPr>
          <w:p w14:paraId="10532A0F" w14:textId="77777777" w:rsidR="008A5E59" w:rsidRPr="00F00180" w:rsidRDefault="008A5E59" w:rsidP="001351F2">
            <w:pPr>
              <w:rPr>
                <w:rFonts w:ascii="Arial" w:hAnsi="Arial"/>
                <w:sz w:val="20"/>
              </w:rPr>
            </w:pPr>
            <w:r w:rsidRPr="00F00180">
              <w:rPr>
                <w:rFonts w:ascii="Arial" w:hAnsi="Arial"/>
                <w:sz w:val="20"/>
              </w:rPr>
              <w:t>NANP Administrator</w:t>
            </w:r>
          </w:p>
        </w:tc>
      </w:tr>
      <w:tr w:rsidR="008A5E59" w:rsidRPr="00502CE6" w14:paraId="0952ADE0" w14:textId="77777777" w:rsidTr="00F00180">
        <w:tc>
          <w:tcPr>
            <w:tcW w:w="1271" w:type="dxa"/>
          </w:tcPr>
          <w:p w14:paraId="35D24E85" w14:textId="77777777" w:rsidR="008A5E59" w:rsidRPr="00F00180" w:rsidRDefault="008A5E59" w:rsidP="001351F2">
            <w:pPr>
              <w:rPr>
                <w:rFonts w:ascii="Arial" w:hAnsi="Arial"/>
                <w:sz w:val="20"/>
              </w:rPr>
            </w:pPr>
            <w:r w:rsidRPr="00F00180">
              <w:rPr>
                <w:rFonts w:ascii="Arial" w:hAnsi="Arial"/>
                <w:sz w:val="20"/>
              </w:rPr>
              <w:t>NANPE</w:t>
            </w:r>
          </w:p>
        </w:tc>
        <w:tc>
          <w:tcPr>
            <w:tcW w:w="8079" w:type="dxa"/>
          </w:tcPr>
          <w:p w14:paraId="601B1071" w14:textId="77777777" w:rsidR="008A5E59" w:rsidRPr="00F00180" w:rsidRDefault="008A5E59" w:rsidP="001351F2">
            <w:pPr>
              <w:rPr>
                <w:rFonts w:ascii="Arial" w:hAnsi="Arial"/>
                <w:sz w:val="20"/>
              </w:rPr>
            </w:pPr>
            <w:r w:rsidRPr="00F00180">
              <w:rPr>
                <w:rFonts w:ascii="Arial" w:hAnsi="Arial"/>
                <w:sz w:val="20"/>
              </w:rPr>
              <w:t>NANP Expansion project</w:t>
            </w:r>
          </w:p>
        </w:tc>
      </w:tr>
      <w:tr w:rsidR="00585114" w:rsidRPr="002B78D9" w14:paraId="5BA010D4" w14:textId="77777777" w:rsidTr="00F00180">
        <w:tc>
          <w:tcPr>
            <w:tcW w:w="1271" w:type="dxa"/>
          </w:tcPr>
          <w:p w14:paraId="43E5104A" w14:textId="77777777" w:rsidR="00585114" w:rsidRPr="00F00180" w:rsidRDefault="00585114" w:rsidP="001351F2">
            <w:pPr>
              <w:rPr>
                <w:rFonts w:ascii="Arial" w:hAnsi="Arial"/>
                <w:sz w:val="20"/>
              </w:rPr>
            </w:pPr>
            <w:r w:rsidRPr="00F00180">
              <w:rPr>
                <w:rFonts w:ascii="Arial" w:hAnsi="Arial"/>
                <w:sz w:val="20"/>
              </w:rPr>
              <w:t>NDC</w:t>
            </w:r>
          </w:p>
        </w:tc>
        <w:tc>
          <w:tcPr>
            <w:tcW w:w="8079" w:type="dxa"/>
          </w:tcPr>
          <w:p w14:paraId="45AEBD46" w14:textId="77777777" w:rsidR="00585114" w:rsidRPr="00F00180" w:rsidRDefault="00585114" w:rsidP="001351F2">
            <w:pPr>
              <w:rPr>
                <w:rFonts w:ascii="Arial" w:hAnsi="Arial"/>
                <w:sz w:val="20"/>
                <w:lang w:val="fr-FR"/>
              </w:rPr>
            </w:pPr>
            <w:r w:rsidRPr="00F00180">
              <w:rPr>
                <w:rFonts w:ascii="Arial" w:hAnsi="Arial"/>
                <w:sz w:val="20"/>
                <w:lang w:val="fr-FR"/>
              </w:rPr>
              <w:t>National Destination Code (area code)</w:t>
            </w:r>
          </w:p>
        </w:tc>
      </w:tr>
      <w:tr w:rsidR="00585114" w:rsidRPr="00502CE6" w14:paraId="6E4361C2" w14:textId="77777777" w:rsidTr="00F00180">
        <w:tc>
          <w:tcPr>
            <w:tcW w:w="1271" w:type="dxa"/>
          </w:tcPr>
          <w:p w14:paraId="26B26C29" w14:textId="77777777" w:rsidR="00585114" w:rsidRPr="00F00180" w:rsidRDefault="00585114" w:rsidP="001351F2">
            <w:pPr>
              <w:rPr>
                <w:rFonts w:ascii="Arial" w:hAnsi="Arial"/>
                <w:sz w:val="20"/>
              </w:rPr>
            </w:pPr>
            <w:r w:rsidRPr="00F00180">
              <w:rPr>
                <w:rFonts w:ascii="Arial" w:hAnsi="Arial"/>
                <w:sz w:val="20"/>
              </w:rPr>
              <w:t>NE</w:t>
            </w:r>
          </w:p>
        </w:tc>
        <w:tc>
          <w:tcPr>
            <w:tcW w:w="8079" w:type="dxa"/>
          </w:tcPr>
          <w:p w14:paraId="25EC1DE3" w14:textId="77777777" w:rsidR="00585114" w:rsidRPr="00F00180" w:rsidRDefault="00585114" w:rsidP="001351F2">
            <w:pPr>
              <w:rPr>
                <w:rFonts w:ascii="Arial" w:hAnsi="Arial"/>
                <w:sz w:val="20"/>
              </w:rPr>
            </w:pPr>
            <w:r w:rsidRPr="00F00180">
              <w:rPr>
                <w:rFonts w:ascii="Arial" w:hAnsi="Arial"/>
                <w:sz w:val="20"/>
              </w:rPr>
              <w:t>Network Element</w:t>
            </w:r>
          </w:p>
        </w:tc>
      </w:tr>
      <w:tr w:rsidR="0057353B" w:rsidRPr="00502CE6" w14:paraId="7F6E011E" w14:textId="77777777" w:rsidTr="00F00180">
        <w:tc>
          <w:tcPr>
            <w:tcW w:w="1271" w:type="dxa"/>
          </w:tcPr>
          <w:p w14:paraId="2A0A3694" w14:textId="77777777" w:rsidR="0057353B" w:rsidRPr="00F00180" w:rsidRDefault="0057353B" w:rsidP="001351F2">
            <w:pPr>
              <w:rPr>
                <w:rFonts w:ascii="Arial" w:hAnsi="Arial"/>
                <w:sz w:val="20"/>
              </w:rPr>
            </w:pPr>
            <w:r w:rsidRPr="00F00180">
              <w:rPr>
                <w:rFonts w:ascii="Arial" w:hAnsi="Arial"/>
                <w:sz w:val="20"/>
              </w:rPr>
              <w:t>NPA</w:t>
            </w:r>
          </w:p>
        </w:tc>
        <w:tc>
          <w:tcPr>
            <w:tcW w:w="8079" w:type="dxa"/>
          </w:tcPr>
          <w:p w14:paraId="64DCA334" w14:textId="77777777" w:rsidR="0057353B" w:rsidRPr="00F00180" w:rsidRDefault="0057353B" w:rsidP="001351F2">
            <w:pPr>
              <w:rPr>
                <w:rFonts w:ascii="Arial" w:hAnsi="Arial"/>
                <w:sz w:val="20"/>
              </w:rPr>
            </w:pPr>
            <w:r w:rsidRPr="00F00180">
              <w:rPr>
                <w:rFonts w:ascii="Arial" w:hAnsi="Arial"/>
                <w:sz w:val="20"/>
              </w:rPr>
              <w:t>Number Plan Area or area code</w:t>
            </w:r>
          </w:p>
        </w:tc>
      </w:tr>
      <w:tr w:rsidR="006948D9" w:rsidRPr="00502CE6" w14:paraId="73E0D34D" w14:textId="77777777" w:rsidTr="00F00180">
        <w:tc>
          <w:tcPr>
            <w:tcW w:w="1271" w:type="dxa"/>
          </w:tcPr>
          <w:p w14:paraId="3A2DC613" w14:textId="77777777" w:rsidR="006948D9" w:rsidRPr="00F00180" w:rsidRDefault="006948D9" w:rsidP="001351F2">
            <w:pPr>
              <w:rPr>
                <w:rFonts w:ascii="Arial" w:hAnsi="Arial"/>
                <w:sz w:val="20"/>
              </w:rPr>
            </w:pPr>
            <w:r w:rsidRPr="00F00180">
              <w:rPr>
                <w:rFonts w:ascii="Arial" w:hAnsi="Arial"/>
                <w:sz w:val="20"/>
              </w:rPr>
              <w:t>NTWG</w:t>
            </w:r>
          </w:p>
        </w:tc>
        <w:tc>
          <w:tcPr>
            <w:tcW w:w="8079" w:type="dxa"/>
          </w:tcPr>
          <w:p w14:paraId="09148938" w14:textId="77777777" w:rsidR="006948D9" w:rsidRPr="00F00180" w:rsidRDefault="006948D9" w:rsidP="001351F2">
            <w:pPr>
              <w:rPr>
                <w:rFonts w:ascii="Arial" w:hAnsi="Arial"/>
                <w:sz w:val="20"/>
              </w:rPr>
            </w:pPr>
            <w:r w:rsidRPr="00F00180">
              <w:rPr>
                <w:rFonts w:ascii="Arial" w:hAnsi="Arial"/>
                <w:sz w:val="20"/>
              </w:rPr>
              <w:t>CISC Network Working Group</w:t>
            </w:r>
          </w:p>
        </w:tc>
      </w:tr>
      <w:tr w:rsidR="00ED7430" w:rsidRPr="00502CE6" w14:paraId="7C52B1D1" w14:textId="77777777" w:rsidTr="00F00180">
        <w:tc>
          <w:tcPr>
            <w:tcW w:w="1271" w:type="dxa"/>
          </w:tcPr>
          <w:p w14:paraId="13172663" w14:textId="77777777" w:rsidR="00ED7430" w:rsidRPr="00F00180" w:rsidRDefault="00ED7430" w:rsidP="001351F2">
            <w:pPr>
              <w:rPr>
                <w:rFonts w:ascii="Arial" w:hAnsi="Arial"/>
                <w:sz w:val="20"/>
              </w:rPr>
            </w:pPr>
            <w:r w:rsidRPr="00F00180">
              <w:rPr>
                <w:rFonts w:ascii="Arial" w:hAnsi="Arial"/>
                <w:sz w:val="20"/>
              </w:rPr>
              <w:t>NoC</w:t>
            </w:r>
          </w:p>
        </w:tc>
        <w:tc>
          <w:tcPr>
            <w:tcW w:w="8079" w:type="dxa"/>
          </w:tcPr>
          <w:p w14:paraId="7A286FB7" w14:textId="77777777" w:rsidR="00ED7430" w:rsidRPr="00F00180" w:rsidRDefault="00ED7430" w:rsidP="001351F2">
            <w:pPr>
              <w:rPr>
                <w:rFonts w:ascii="Arial" w:hAnsi="Arial"/>
                <w:sz w:val="20"/>
              </w:rPr>
            </w:pPr>
            <w:r w:rsidRPr="00F00180">
              <w:rPr>
                <w:rFonts w:ascii="Arial" w:hAnsi="Arial"/>
                <w:sz w:val="20"/>
              </w:rPr>
              <w:t>Notice of Consultation</w:t>
            </w:r>
          </w:p>
        </w:tc>
      </w:tr>
      <w:tr w:rsidR="008A5E59" w:rsidRPr="00502CE6" w14:paraId="15327029" w14:textId="77777777" w:rsidTr="00F00180">
        <w:tc>
          <w:tcPr>
            <w:tcW w:w="1271" w:type="dxa"/>
          </w:tcPr>
          <w:p w14:paraId="0B7CA653" w14:textId="77777777" w:rsidR="008A5E59" w:rsidRPr="00F00180" w:rsidRDefault="008A5E59" w:rsidP="001351F2">
            <w:pPr>
              <w:rPr>
                <w:rFonts w:ascii="Arial" w:hAnsi="Arial"/>
                <w:sz w:val="20"/>
              </w:rPr>
            </w:pPr>
            <w:r w:rsidRPr="00F00180">
              <w:rPr>
                <w:rFonts w:ascii="Arial" w:hAnsi="Arial"/>
                <w:sz w:val="20"/>
              </w:rPr>
              <w:t>NPA</w:t>
            </w:r>
          </w:p>
        </w:tc>
        <w:tc>
          <w:tcPr>
            <w:tcW w:w="8079" w:type="dxa"/>
          </w:tcPr>
          <w:p w14:paraId="48057A52" w14:textId="77777777" w:rsidR="008A5E59" w:rsidRPr="00F00180" w:rsidRDefault="008A5E59" w:rsidP="001351F2">
            <w:pPr>
              <w:rPr>
                <w:rFonts w:ascii="Arial" w:hAnsi="Arial"/>
                <w:sz w:val="20"/>
              </w:rPr>
            </w:pPr>
            <w:r w:rsidRPr="00F00180">
              <w:rPr>
                <w:rFonts w:ascii="Arial" w:hAnsi="Arial"/>
                <w:sz w:val="20"/>
              </w:rPr>
              <w:t>Number Plan Area or Area Code.  Its format is NNX.</w:t>
            </w:r>
          </w:p>
        </w:tc>
      </w:tr>
      <w:tr w:rsidR="008A5E59" w:rsidRPr="00502CE6" w14:paraId="3AFF70F1" w14:textId="77777777" w:rsidTr="00F00180">
        <w:tc>
          <w:tcPr>
            <w:tcW w:w="1271" w:type="dxa"/>
          </w:tcPr>
          <w:p w14:paraId="4B059C9A" w14:textId="77777777" w:rsidR="008A5E59" w:rsidRPr="00F00180" w:rsidRDefault="008A5E59" w:rsidP="001351F2">
            <w:pPr>
              <w:rPr>
                <w:rFonts w:ascii="Arial" w:hAnsi="Arial"/>
                <w:sz w:val="20"/>
              </w:rPr>
            </w:pPr>
            <w:r w:rsidRPr="00F00180">
              <w:rPr>
                <w:rFonts w:ascii="Arial" w:hAnsi="Arial"/>
                <w:sz w:val="20"/>
              </w:rPr>
              <w:t>NRUF</w:t>
            </w:r>
          </w:p>
        </w:tc>
        <w:tc>
          <w:tcPr>
            <w:tcW w:w="8079" w:type="dxa"/>
          </w:tcPr>
          <w:p w14:paraId="31559344" w14:textId="77777777" w:rsidR="008A5E59" w:rsidRPr="00F00180" w:rsidRDefault="008A5E59" w:rsidP="001351F2">
            <w:pPr>
              <w:rPr>
                <w:rFonts w:ascii="Arial" w:hAnsi="Arial"/>
                <w:sz w:val="20"/>
              </w:rPr>
            </w:pPr>
            <w:r w:rsidRPr="00F00180">
              <w:rPr>
                <w:rFonts w:ascii="Arial" w:hAnsi="Arial"/>
                <w:sz w:val="20"/>
              </w:rPr>
              <w:t>Numbering Resource Utilization Forecast</w:t>
            </w:r>
          </w:p>
        </w:tc>
      </w:tr>
      <w:tr w:rsidR="008A5E59" w:rsidRPr="00502CE6" w14:paraId="0D0D89C5" w14:textId="77777777" w:rsidTr="00F00180">
        <w:tc>
          <w:tcPr>
            <w:tcW w:w="1271" w:type="dxa"/>
          </w:tcPr>
          <w:p w14:paraId="749CB433" w14:textId="77777777" w:rsidR="008A5E59" w:rsidRPr="00F00180" w:rsidRDefault="008A5E59" w:rsidP="001351F2">
            <w:pPr>
              <w:rPr>
                <w:rFonts w:ascii="Arial" w:hAnsi="Arial"/>
                <w:sz w:val="20"/>
              </w:rPr>
            </w:pPr>
            <w:r w:rsidRPr="00F00180">
              <w:rPr>
                <w:rFonts w:ascii="Arial" w:hAnsi="Arial"/>
                <w:sz w:val="20"/>
              </w:rPr>
              <w:t>NXX</w:t>
            </w:r>
          </w:p>
        </w:tc>
        <w:tc>
          <w:tcPr>
            <w:tcW w:w="8079" w:type="dxa"/>
          </w:tcPr>
          <w:p w14:paraId="3ABA02E3" w14:textId="77777777" w:rsidR="008A5E59" w:rsidRPr="00F00180" w:rsidRDefault="008A5E59" w:rsidP="001351F2">
            <w:pPr>
              <w:rPr>
                <w:rFonts w:ascii="Arial" w:hAnsi="Arial"/>
                <w:sz w:val="20"/>
              </w:rPr>
            </w:pPr>
            <w:r w:rsidRPr="00F00180">
              <w:rPr>
                <w:rFonts w:ascii="Arial" w:hAnsi="Arial"/>
                <w:sz w:val="20"/>
              </w:rPr>
              <w:t>The 4</w:t>
            </w:r>
            <w:r w:rsidRPr="00F00180">
              <w:rPr>
                <w:rFonts w:ascii="Arial" w:hAnsi="Arial"/>
                <w:sz w:val="20"/>
                <w:vertAlign w:val="superscript"/>
              </w:rPr>
              <w:t>th</w:t>
            </w:r>
            <w:r w:rsidRPr="00F00180">
              <w:rPr>
                <w:rFonts w:ascii="Arial" w:hAnsi="Arial"/>
                <w:sz w:val="20"/>
              </w:rPr>
              <w:t>, 5</w:t>
            </w:r>
            <w:r w:rsidRPr="00F00180">
              <w:rPr>
                <w:rFonts w:ascii="Arial" w:hAnsi="Arial"/>
                <w:sz w:val="20"/>
                <w:vertAlign w:val="superscript"/>
              </w:rPr>
              <w:t>th</w:t>
            </w:r>
            <w:r w:rsidRPr="00F00180">
              <w:rPr>
                <w:rFonts w:ascii="Arial" w:hAnsi="Arial"/>
                <w:sz w:val="20"/>
              </w:rPr>
              <w:t>, and 6</w:t>
            </w:r>
            <w:r w:rsidRPr="00F00180">
              <w:rPr>
                <w:rFonts w:ascii="Arial" w:hAnsi="Arial"/>
                <w:sz w:val="20"/>
                <w:vertAlign w:val="superscript"/>
              </w:rPr>
              <w:t>th</w:t>
            </w:r>
            <w:r w:rsidRPr="00F00180">
              <w:rPr>
                <w:rFonts w:ascii="Arial" w:hAnsi="Arial"/>
                <w:sz w:val="20"/>
              </w:rPr>
              <w:t xml:space="preserve"> digit of a telephone number.  It is sometimes called a Central Office (CO) code </w:t>
            </w:r>
            <w:r w:rsidR="0057353B" w:rsidRPr="00F00180">
              <w:rPr>
                <w:rFonts w:ascii="Arial" w:hAnsi="Arial"/>
                <w:sz w:val="20"/>
              </w:rPr>
              <w:t>and refers to</w:t>
            </w:r>
            <w:r w:rsidRPr="00F00180">
              <w:rPr>
                <w:rFonts w:ascii="Arial" w:hAnsi="Arial"/>
                <w:sz w:val="20"/>
              </w:rPr>
              <w:t xml:space="preserve"> a 10,000 number block.  </w:t>
            </w:r>
          </w:p>
        </w:tc>
      </w:tr>
      <w:tr w:rsidR="0057353B" w:rsidRPr="00502CE6" w14:paraId="66E35DC9" w14:textId="77777777" w:rsidTr="00F00180">
        <w:tc>
          <w:tcPr>
            <w:tcW w:w="1271" w:type="dxa"/>
          </w:tcPr>
          <w:p w14:paraId="5B6B1318" w14:textId="77777777" w:rsidR="0057353B" w:rsidRPr="00F00180" w:rsidRDefault="0057353B" w:rsidP="001351F2">
            <w:pPr>
              <w:rPr>
                <w:rFonts w:ascii="Arial" w:hAnsi="Arial"/>
                <w:sz w:val="20"/>
              </w:rPr>
            </w:pPr>
            <w:r w:rsidRPr="00F00180">
              <w:rPr>
                <w:rFonts w:ascii="Arial" w:hAnsi="Arial"/>
                <w:sz w:val="20"/>
              </w:rPr>
              <w:t>OSS</w:t>
            </w:r>
          </w:p>
        </w:tc>
        <w:tc>
          <w:tcPr>
            <w:tcW w:w="8079" w:type="dxa"/>
          </w:tcPr>
          <w:p w14:paraId="35C87954" w14:textId="77777777" w:rsidR="0057353B" w:rsidRPr="00F00180" w:rsidRDefault="0057353B" w:rsidP="001351F2">
            <w:pPr>
              <w:rPr>
                <w:rFonts w:ascii="Arial" w:hAnsi="Arial"/>
                <w:sz w:val="20"/>
              </w:rPr>
            </w:pPr>
            <w:r w:rsidRPr="00F00180">
              <w:rPr>
                <w:rFonts w:ascii="Arial" w:hAnsi="Arial"/>
                <w:sz w:val="20"/>
              </w:rPr>
              <w:t>Operational Support Systems</w:t>
            </w:r>
          </w:p>
        </w:tc>
      </w:tr>
      <w:tr w:rsidR="00585114" w:rsidRPr="00502CE6" w14:paraId="00B2A9E7" w14:textId="77777777" w:rsidTr="00F00180">
        <w:tc>
          <w:tcPr>
            <w:tcW w:w="1271" w:type="dxa"/>
          </w:tcPr>
          <w:p w14:paraId="3B91D2CB" w14:textId="77777777" w:rsidR="00585114" w:rsidRPr="00F00180" w:rsidRDefault="00585114" w:rsidP="001351F2">
            <w:pPr>
              <w:rPr>
                <w:rFonts w:ascii="Arial" w:hAnsi="Arial"/>
                <w:sz w:val="20"/>
              </w:rPr>
            </w:pPr>
            <w:r w:rsidRPr="00F00180">
              <w:rPr>
                <w:rFonts w:ascii="Arial" w:hAnsi="Arial"/>
                <w:sz w:val="20"/>
              </w:rPr>
              <w:t>OTT</w:t>
            </w:r>
          </w:p>
        </w:tc>
        <w:tc>
          <w:tcPr>
            <w:tcW w:w="8079" w:type="dxa"/>
          </w:tcPr>
          <w:p w14:paraId="6450895D" w14:textId="77777777" w:rsidR="00585114" w:rsidRPr="00F00180" w:rsidRDefault="00585114" w:rsidP="001351F2">
            <w:pPr>
              <w:rPr>
                <w:rFonts w:ascii="Arial" w:hAnsi="Arial"/>
                <w:sz w:val="20"/>
              </w:rPr>
            </w:pPr>
            <w:r w:rsidRPr="00F00180">
              <w:rPr>
                <w:rFonts w:ascii="Arial" w:hAnsi="Arial"/>
                <w:sz w:val="20"/>
              </w:rPr>
              <w:t>Over The Top</w:t>
            </w:r>
          </w:p>
        </w:tc>
      </w:tr>
      <w:tr w:rsidR="0035415E" w:rsidRPr="00502CE6" w14:paraId="17791A00" w14:textId="77777777" w:rsidTr="00F00180">
        <w:tc>
          <w:tcPr>
            <w:tcW w:w="1271" w:type="dxa"/>
          </w:tcPr>
          <w:p w14:paraId="612CB2B8" w14:textId="77777777" w:rsidR="0035415E" w:rsidRPr="00F00180" w:rsidRDefault="0035415E" w:rsidP="001351F2">
            <w:pPr>
              <w:rPr>
                <w:rFonts w:ascii="Arial" w:hAnsi="Arial"/>
                <w:sz w:val="20"/>
              </w:rPr>
            </w:pPr>
            <w:r w:rsidRPr="00F00180">
              <w:rPr>
                <w:rFonts w:ascii="Arial" w:hAnsi="Arial"/>
                <w:sz w:val="20"/>
              </w:rPr>
              <w:t>SAC</w:t>
            </w:r>
          </w:p>
        </w:tc>
        <w:tc>
          <w:tcPr>
            <w:tcW w:w="8079" w:type="dxa"/>
          </w:tcPr>
          <w:p w14:paraId="0AD138B4" w14:textId="77777777" w:rsidR="0035415E" w:rsidRPr="00F00180" w:rsidRDefault="0035415E" w:rsidP="001351F2">
            <w:pPr>
              <w:rPr>
                <w:rFonts w:ascii="Arial" w:hAnsi="Arial"/>
                <w:sz w:val="20"/>
              </w:rPr>
            </w:pPr>
            <w:r w:rsidRPr="00F00180">
              <w:rPr>
                <w:rFonts w:ascii="Arial" w:hAnsi="Arial"/>
                <w:sz w:val="20"/>
              </w:rPr>
              <w:t>Service Access Code</w:t>
            </w:r>
            <w:r w:rsidRPr="00F00180">
              <w:rPr>
                <w:rStyle w:val="FootnoteReference"/>
                <w:rFonts w:ascii="Arial" w:hAnsi="Arial"/>
                <w:sz w:val="20"/>
              </w:rPr>
              <w:footnoteReference w:id="29"/>
            </w:r>
          </w:p>
        </w:tc>
      </w:tr>
      <w:tr w:rsidR="00A84705" w:rsidRPr="00502CE6" w14:paraId="64621D1D" w14:textId="77777777" w:rsidTr="00F00180">
        <w:tc>
          <w:tcPr>
            <w:tcW w:w="1271" w:type="dxa"/>
          </w:tcPr>
          <w:p w14:paraId="1BE725DA" w14:textId="77777777" w:rsidR="00A84705" w:rsidRPr="00F00180" w:rsidRDefault="00A84705" w:rsidP="001351F2">
            <w:pPr>
              <w:rPr>
                <w:rFonts w:ascii="Arial" w:hAnsi="Arial"/>
                <w:sz w:val="20"/>
              </w:rPr>
            </w:pPr>
            <w:r w:rsidRPr="00F00180">
              <w:rPr>
                <w:rFonts w:ascii="Arial" w:hAnsi="Arial"/>
                <w:sz w:val="20"/>
              </w:rPr>
              <w:t>SDO</w:t>
            </w:r>
          </w:p>
        </w:tc>
        <w:tc>
          <w:tcPr>
            <w:tcW w:w="8079" w:type="dxa"/>
          </w:tcPr>
          <w:p w14:paraId="0DA3EA59" w14:textId="77777777" w:rsidR="00A84705" w:rsidRPr="00F00180" w:rsidRDefault="00A84705" w:rsidP="001351F2">
            <w:pPr>
              <w:rPr>
                <w:rFonts w:ascii="Arial" w:hAnsi="Arial"/>
                <w:sz w:val="20"/>
              </w:rPr>
            </w:pPr>
            <w:r w:rsidRPr="00F00180">
              <w:rPr>
                <w:rFonts w:ascii="Arial" w:hAnsi="Arial"/>
                <w:sz w:val="20"/>
              </w:rPr>
              <w:t>Standards Development Organization</w:t>
            </w:r>
          </w:p>
        </w:tc>
      </w:tr>
      <w:tr w:rsidR="009768E3" w:rsidRPr="00502CE6" w14:paraId="4ECA8D7B" w14:textId="77777777" w:rsidTr="00F00180">
        <w:tc>
          <w:tcPr>
            <w:tcW w:w="1271" w:type="dxa"/>
          </w:tcPr>
          <w:p w14:paraId="2303D800" w14:textId="77777777" w:rsidR="009768E3" w:rsidRPr="00F00180" w:rsidRDefault="009768E3" w:rsidP="001351F2">
            <w:pPr>
              <w:rPr>
                <w:rFonts w:ascii="Arial" w:hAnsi="Arial"/>
                <w:sz w:val="20"/>
              </w:rPr>
            </w:pPr>
            <w:r w:rsidRPr="00F00180">
              <w:rPr>
                <w:rFonts w:ascii="Arial" w:hAnsi="Arial"/>
                <w:sz w:val="20"/>
              </w:rPr>
              <w:t>SIM</w:t>
            </w:r>
          </w:p>
        </w:tc>
        <w:tc>
          <w:tcPr>
            <w:tcW w:w="8079" w:type="dxa"/>
          </w:tcPr>
          <w:p w14:paraId="65823224" w14:textId="77777777" w:rsidR="009768E3" w:rsidRPr="00F00180" w:rsidRDefault="009768E3" w:rsidP="001351F2">
            <w:pPr>
              <w:rPr>
                <w:rFonts w:ascii="Arial" w:hAnsi="Arial"/>
                <w:sz w:val="20"/>
              </w:rPr>
            </w:pPr>
            <w:r w:rsidRPr="00F00180">
              <w:rPr>
                <w:rFonts w:ascii="Arial" w:hAnsi="Arial"/>
                <w:sz w:val="20"/>
              </w:rPr>
              <w:t>Subscriber Identity Module</w:t>
            </w:r>
          </w:p>
        </w:tc>
      </w:tr>
      <w:tr w:rsidR="008A5E59" w:rsidRPr="00502CE6" w14:paraId="4942C324" w14:textId="77777777" w:rsidTr="00F00180">
        <w:tc>
          <w:tcPr>
            <w:tcW w:w="1271" w:type="dxa"/>
          </w:tcPr>
          <w:p w14:paraId="4BA291EE" w14:textId="77777777" w:rsidR="008A5E59" w:rsidRPr="00F00180" w:rsidRDefault="008A5E59" w:rsidP="001351F2">
            <w:pPr>
              <w:rPr>
                <w:rFonts w:ascii="Arial" w:hAnsi="Arial"/>
                <w:sz w:val="20"/>
              </w:rPr>
            </w:pPr>
            <w:r w:rsidRPr="00F00180">
              <w:rPr>
                <w:rFonts w:ascii="Arial" w:hAnsi="Arial"/>
                <w:sz w:val="20"/>
              </w:rPr>
              <w:t>SMS</w:t>
            </w:r>
          </w:p>
        </w:tc>
        <w:tc>
          <w:tcPr>
            <w:tcW w:w="8079" w:type="dxa"/>
          </w:tcPr>
          <w:p w14:paraId="36C54708" w14:textId="77777777" w:rsidR="008A5E59" w:rsidRPr="00F00180" w:rsidRDefault="00D63666" w:rsidP="001351F2">
            <w:pPr>
              <w:rPr>
                <w:rFonts w:ascii="Arial" w:hAnsi="Arial"/>
                <w:sz w:val="20"/>
              </w:rPr>
            </w:pPr>
            <w:r w:rsidRPr="00F00180">
              <w:rPr>
                <w:rFonts w:ascii="Arial" w:hAnsi="Arial"/>
                <w:sz w:val="20"/>
              </w:rPr>
              <w:t>W</w:t>
            </w:r>
            <w:r w:rsidR="008A5E59" w:rsidRPr="00F00180">
              <w:rPr>
                <w:rFonts w:ascii="Arial" w:hAnsi="Arial"/>
                <w:sz w:val="20"/>
              </w:rPr>
              <w:t>ireless Short Message Service</w:t>
            </w:r>
          </w:p>
        </w:tc>
      </w:tr>
      <w:tr w:rsidR="00585114" w:rsidRPr="00502CE6" w14:paraId="387B8292" w14:textId="77777777" w:rsidTr="00F00180">
        <w:tc>
          <w:tcPr>
            <w:tcW w:w="1271" w:type="dxa"/>
          </w:tcPr>
          <w:p w14:paraId="21450FA0" w14:textId="77777777" w:rsidR="00585114" w:rsidRPr="00F00180" w:rsidRDefault="00585114" w:rsidP="001351F2">
            <w:pPr>
              <w:rPr>
                <w:rFonts w:ascii="Arial" w:hAnsi="Arial"/>
                <w:sz w:val="20"/>
              </w:rPr>
            </w:pPr>
            <w:r w:rsidRPr="00F00180">
              <w:rPr>
                <w:rFonts w:ascii="Arial" w:hAnsi="Arial"/>
                <w:sz w:val="20"/>
              </w:rPr>
              <w:lastRenderedPageBreak/>
              <w:t>SN</w:t>
            </w:r>
          </w:p>
        </w:tc>
        <w:tc>
          <w:tcPr>
            <w:tcW w:w="8079" w:type="dxa"/>
          </w:tcPr>
          <w:p w14:paraId="717534E7" w14:textId="77777777" w:rsidR="00585114" w:rsidRPr="00F00180" w:rsidRDefault="00585114" w:rsidP="001351F2">
            <w:pPr>
              <w:rPr>
                <w:rFonts w:ascii="Arial" w:hAnsi="Arial"/>
                <w:sz w:val="20"/>
              </w:rPr>
            </w:pPr>
            <w:r w:rsidRPr="00F00180">
              <w:rPr>
                <w:rFonts w:ascii="Arial" w:hAnsi="Arial"/>
                <w:sz w:val="20"/>
              </w:rPr>
              <w:t>Subscriber Number (</w:t>
            </w:r>
            <w:r w:rsidR="00C77021" w:rsidRPr="00F00180">
              <w:rPr>
                <w:rFonts w:ascii="Arial" w:hAnsi="Arial"/>
                <w:sz w:val="20"/>
              </w:rPr>
              <w:t>7-digit</w:t>
            </w:r>
            <w:r w:rsidRPr="00F00180">
              <w:rPr>
                <w:rFonts w:ascii="Arial" w:hAnsi="Arial"/>
                <w:sz w:val="20"/>
              </w:rPr>
              <w:t xml:space="preserve"> TN)</w:t>
            </w:r>
          </w:p>
        </w:tc>
      </w:tr>
      <w:tr w:rsidR="008A5E59" w:rsidRPr="00502CE6" w14:paraId="23DC4951" w14:textId="77777777" w:rsidTr="00F00180">
        <w:tc>
          <w:tcPr>
            <w:tcW w:w="1271" w:type="dxa"/>
          </w:tcPr>
          <w:p w14:paraId="754CF03B" w14:textId="77777777" w:rsidR="008A5E59" w:rsidRPr="00F00180" w:rsidRDefault="008A5E59" w:rsidP="001351F2">
            <w:pPr>
              <w:rPr>
                <w:rFonts w:ascii="Arial" w:hAnsi="Arial"/>
                <w:sz w:val="20"/>
              </w:rPr>
            </w:pPr>
            <w:r w:rsidRPr="00F00180">
              <w:rPr>
                <w:rFonts w:ascii="Arial" w:hAnsi="Arial"/>
                <w:sz w:val="20"/>
              </w:rPr>
              <w:t>SP</w:t>
            </w:r>
          </w:p>
        </w:tc>
        <w:tc>
          <w:tcPr>
            <w:tcW w:w="8079" w:type="dxa"/>
          </w:tcPr>
          <w:p w14:paraId="23A8F56E" w14:textId="77777777" w:rsidR="008A5E59" w:rsidRPr="00F00180" w:rsidRDefault="008A5E59" w:rsidP="001351F2">
            <w:pPr>
              <w:rPr>
                <w:rFonts w:ascii="Arial" w:hAnsi="Arial"/>
                <w:sz w:val="20"/>
              </w:rPr>
            </w:pPr>
            <w:r w:rsidRPr="00F00180">
              <w:rPr>
                <w:rFonts w:ascii="Arial" w:hAnsi="Arial"/>
                <w:sz w:val="20"/>
              </w:rPr>
              <w:t>Service Provider</w:t>
            </w:r>
          </w:p>
        </w:tc>
      </w:tr>
      <w:tr w:rsidR="008A5E59" w:rsidRPr="00502CE6" w14:paraId="0299B11C" w14:textId="77777777" w:rsidTr="00F00180">
        <w:tc>
          <w:tcPr>
            <w:tcW w:w="1271" w:type="dxa"/>
          </w:tcPr>
          <w:p w14:paraId="54F55F6C" w14:textId="77777777" w:rsidR="008A5E59" w:rsidRPr="00F00180" w:rsidRDefault="008A5E59" w:rsidP="001351F2">
            <w:pPr>
              <w:rPr>
                <w:rFonts w:ascii="Arial" w:hAnsi="Arial"/>
                <w:sz w:val="20"/>
              </w:rPr>
            </w:pPr>
            <w:r w:rsidRPr="00F00180">
              <w:rPr>
                <w:rFonts w:ascii="Arial" w:hAnsi="Arial"/>
                <w:sz w:val="20"/>
              </w:rPr>
              <w:t>TIF</w:t>
            </w:r>
          </w:p>
        </w:tc>
        <w:tc>
          <w:tcPr>
            <w:tcW w:w="8079" w:type="dxa"/>
          </w:tcPr>
          <w:p w14:paraId="645A9882" w14:textId="77777777" w:rsidR="008A5E59" w:rsidRPr="00F00180" w:rsidRDefault="008A5E59" w:rsidP="001351F2">
            <w:pPr>
              <w:rPr>
                <w:rFonts w:ascii="Arial" w:hAnsi="Arial"/>
                <w:sz w:val="20"/>
              </w:rPr>
            </w:pPr>
            <w:r w:rsidRPr="00F00180">
              <w:rPr>
                <w:rFonts w:ascii="Arial" w:hAnsi="Arial"/>
                <w:sz w:val="20"/>
              </w:rPr>
              <w:t>CISC Task Identification Form</w:t>
            </w:r>
          </w:p>
        </w:tc>
      </w:tr>
      <w:tr w:rsidR="008A5E59" w:rsidRPr="00502CE6" w14:paraId="1CC80D78" w14:textId="77777777" w:rsidTr="00F00180">
        <w:tc>
          <w:tcPr>
            <w:tcW w:w="1271" w:type="dxa"/>
          </w:tcPr>
          <w:p w14:paraId="5D2C38A4" w14:textId="77777777" w:rsidR="008A5E59" w:rsidRPr="00F00180" w:rsidRDefault="008A5E59" w:rsidP="001351F2">
            <w:pPr>
              <w:rPr>
                <w:rFonts w:ascii="Arial" w:hAnsi="Arial"/>
                <w:sz w:val="20"/>
              </w:rPr>
            </w:pPr>
            <w:r w:rsidRPr="00F00180">
              <w:rPr>
                <w:rFonts w:ascii="Arial" w:hAnsi="Arial"/>
                <w:sz w:val="20"/>
              </w:rPr>
              <w:t>TN</w:t>
            </w:r>
          </w:p>
        </w:tc>
        <w:tc>
          <w:tcPr>
            <w:tcW w:w="8079" w:type="dxa"/>
          </w:tcPr>
          <w:p w14:paraId="0485D1A3" w14:textId="7B4DD253" w:rsidR="008A5E59" w:rsidRPr="00F00180" w:rsidRDefault="008A5E59" w:rsidP="001351F2">
            <w:pPr>
              <w:rPr>
                <w:rFonts w:ascii="Arial" w:hAnsi="Arial"/>
                <w:sz w:val="20"/>
              </w:rPr>
            </w:pPr>
            <w:r w:rsidRPr="00F00180">
              <w:rPr>
                <w:rFonts w:ascii="Arial" w:hAnsi="Arial"/>
                <w:sz w:val="20"/>
              </w:rPr>
              <w:t xml:space="preserve">Telephone </w:t>
            </w:r>
            <w:r w:rsidR="00D63666" w:rsidRPr="00F00180">
              <w:rPr>
                <w:rFonts w:ascii="Arial" w:hAnsi="Arial"/>
                <w:sz w:val="20"/>
              </w:rPr>
              <w:t>n</w:t>
            </w:r>
            <w:r w:rsidRPr="00F00180">
              <w:rPr>
                <w:rFonts w:ascii="Arial" w:hAnsi="Arial"/>
                <w:sz w:val="20"/>
              </w:rPr>
              <w:t>umber</w:t>
            </w:r>
            <w:r w:rsidR="00EE20F4" w:rsidRPr="004950ED">
              <w:rPr>
                <w:rFonts w:ascii="Arial" w:hAnsi="Arial" w:cs="Arial"/>
                <w:sz w:val="20"/>
                <w:szCs w:val="20"/>
              </w:rPr>
              <w:t xml:space="preserve"> sourced from the North American Numbering Plan.</w:t>
            </w:r>
          </w:p>
        </w:tc>
      </w:tr>
      <w:tr w:rsidR="008A5E59" w:rsidRPr="00502CE6" w14:paraId="3BC5D773" w14:textId="77777777" w:rsidTr="00F00180">
        <w:tc>
          <w:tcPr>
            <w:tcW w:w="1271" w:type="dxa"/>
          </w:tcPr>
          <w:p w14:paraId="41B9715C" w14:textId="77777777" w:rsidR="008A5E59" w:rsidRPr="00F00180" w:rsidRDefault="008A5E59" w:rsidP="001351F2">
            <w:pPr>
              <w:rPr>
                <w:rFonts w:ascii="Arial" w:hAnsi="Arial"/>
                <w:sz w:val="20"/>
              </w:rPr>
            </w:pPr>
            <w:r w:rsidRPr="00F00180">
              <w:rPr>
                <w:rFonts w:ascii="Arial" w:hAnsi="Arial"/>
                <w:sz w:val="20"/>
              </w:rPr>
              <w:t>UDP</w:t>
            </w:r>
          </w:p>
        </w:tc>
        <w:tc>
          <w:tcPr>
            <w:tcW w:w="8079" w:type="dxa"/>
          </w:tcPr>
          <w:p w14:paraId="023EBC2E" w14:textId="77777777" w:rsidR="008A5E59" w:rsidRPr="00F00180" w:rsidRDefault="008A5E59" w:rsidP="001351F2">
            <w:pPr>
              <w:rPr>
                <w:rFonts w:ascii="Arial" w:hAnsi="Arial"/>
                <w:sz w:val="20"/>
              </w:rPr>
            </w:pPr>
            <w:r w:rsidRPr="00F00180">
              <w:rPr>
                <w:rFonts w:ascii="Arial" w:hAnsi="Arial"/>
                <w:sz w:val="20"/>
              </w:rPr>
              <w:t>Uniform Dialing Plan</w:t>
            </w:r>
          </w:p>
        </w:tc>
      </w:tr>
      <w:tr w:rsidR="008A5E59" w:rsidRPr="00502CE6" w14:paraId="41A5665D" w14:textId="77777777" w:rsidTr="00F00180">
        <w:tc>
          <w:tcPr>
            <w:tcW w:w="1271" w:type="dxa"/>
          </w:tcPr>
          <w:p w14:paraId="2FE72D19" w14:textId="77777777" w:rsidR="008A5E59" w:rsidRPr="00F00180" w:rsidRDefault="008A5E59" w:rsidP="001351F2">
            <w:pPr>
              <w:rPr>
                <w:rFonts w:ascii="Arial" w:hAnsi="Arial"/>
                <w:sz w:val="20"/>
              </w:rPr>
            </w:pPr>
            <w:r w:rsidRPr="00F00180">
              <w:rPr>
                <w:rFonts w:ascii="Arial" w:hAnsi="Arial"/>
                <w:sz w:val="20"/>
              </w:rPr>
              <w:t>VoIP</w:t>
            </w:r>
          </w:p>
        </w:tc>
        <w:tc>
          <w:tcPr>
            <w:tcW w:w="8079" w:type="dxa"/>
          </w:tcPr>
          <w:p w14:paraId="52B9EC27" w14:textId="77777777" w:rsidR="008A5E59" w:rsidRPr="00F00180" w:rsidRDefault="008A5E59" w:rsidP="001351F2">
            <w:pPr>
              <w:rPr>
                <w:rFonts w:ascii="Arial" w:hAnsi="Arial"/>
                <w:sz w:val="20"/>
              </w:rPr>
            </w:pPr>
            <w:r w:rsidRPr="00F00180">
              <w:rPr>
                <w:rFonts w:ascii="Arial" w:hAnsi="Arial"/>
                <w:sz w:val="20"/>
              </w:rPr>
              <w:t>Voice over Internet Protocol</w:t>
            </w:r>
          </w:p>
        </w:tc>
      </w:tr>
      <w:tr w:rsidR="008A5E59" w:rsidRPr="00502CE6" w14:paraId="4F97FCF5" w14:textId="77777777" w:rsidTr="00F00180">
        <w:tc>
          <w:tcPr>
            <w:tcW w:w="1271" w:type="dxa"/>
          </w:tcPr>
          <w:p w14:paraId="0154E198" w14:textId="77777777" w:rsidR="008A5E59" w:rsidRPr="00F00180" w:rsidRDefault="008A5E59" w:rsidP="001351F2">
            <w:pPr>
              <w:rPr>
                <w:rFonts w:ascii="Arial" w:hAnsi="Arial"/>
                <w:sz w:val="20"/>
              </w:rPr>
            </w:pPr>
            <w:r w:rsidRPr="00F00180">
              <w:rPr>
                <w:rFonts w:ascii="Arial" w:hAnsi="Arial"/>
                <w:sz w:val="20"/>
              </w:rPr>
              <w:t>WZ1</w:t>
            </w:r>
          </w:p>
        </w:tc>
        <w:tc>
          <w:tcPr>
            <w:tcW w:w="8079" w:type="dxa"/>
          </w:tcPr>
          <w:p w14:paraId="305F3599" w14:textId="77777777" w:rsidR="008A5E59" w:rsidRPr="00F00180" w:rsidRDefault="008A5E59" w:rsidP="001351F2">
            <w:pPr>
              <w:rPr>
                <w:rFonts w:ascii="Arial" w:hAnsi="Arial"/>
                <w:sz w:val="20"/>
              </w:rPr>
            </w:pPr>
            <w:r w:rsidRPr="00F00180">
              <w:rPr>
                <w:rFonts w:ascii="Arial" w:hAnsi="Arial"/>
                <w:sz w:val="20"/>
              </w:rPr>
              <w:t>World Zone 1 (the NANP is identified as WZ1)</w:t>
            </w:r>
          </w:p>
        </w:tc>
      </w:tr>
      <w:tr w:rsidR="008A5E59" w:rsidRPr="00502CE6" w14:paraId="525BC4D6" w14:textId="77777777" w:rsidTr="00F00180">
        <w:tc>
          <w:tcPr>
            <w:tcW w:w="1271" w:type="dxa"/>
          </w:tcPr>
          <w:p w14:paraId="14D02833" w14:textId="77777777" w:rsidR="008A5E59" w:rsidRPr="00F00180" w:rsidRDefault="008A5E59" w:rsidP="001351F2">
            <w:pPr>
              <w:rPr>
                <w:rFonts w:ascii="Arial" w:hAnsi="Arial"/>
                <w:sz w:val="20"/>
              </w:rPr>
            </w:pPr>
            <w:r w:rsidRPr="00F00180">
              <w:rPr>
                <w:rFonts w:ascii="Arial" w:hAnsi="Arial"/>
                <w:sz w:val="20"/>
              </w:rPr>
              <w:t>X</w:t>
            </w:r>
          </w:p>
        </w:tc>
        <w:tc>
          <w:tcPr>
            <w:tcW w:w="8079" w:type="dxa"/>
          </w:tcPr>
          <w:p w14:paraId="10A2D897" w14:textId="77777777" w:rsidR="008A5E59" w:rsidRPr="00F00180" w:rsidRDefault="008A5E59" w:rsidP="001351F2">
            <w:pPr>
              <w:rPr>
                <w:rFonts w:ascii="Arial" w:hAnsi="Arial"/>
                <w:sz w:val="20"/>
              </w:rPr>
            </w:pPr>
            <w:r w:rsidRPr="00F00180">
              <w:rPr>
                <w:rFonts w:ascii="Arial" w:hAnsi="Arial"/>
                <w:sz w:val="20"/>
              </w:rPr>
              <w:t xml:space="preserve">A digit in a telephone number where X = 0 to 9. </w:t>
            </w:r>
          </w:p>
        </w:tc>
      </w:tr>
    </w:tbl>
    <w:p w14:paraId="259B377C" w14:textId="77777777" w:rsidR="00256457" w:rsidRDefault="00B91EBA" w:rsidP="001351F2">
      <w:pPr>
        <w:rPr>
          <w:rFonts w:ascii="Arial" w:hAnsi="Arial" w:cs="Arial"/>
        </w:rPr>
      </w:pPr>
      <w:r w:rsidRPr="00502CE6">
        <w:rPr>
          <w:rFonts w:ascii="Arial" w:hAnsi="Arial" w:cs="Arial"/>
        </w:rPr>
        <w:br/>
      </w:r>
      <w:r w:rsidR="00256457">
        <w:rPr>
          <w:rFonts w:ascii="Arial" w:hAnsi="Arial" w:cs="Arial"/>
        </w:rPr>
        <w:br w:type="page"/>
      </w:r>
    </w:p>
    <w:p w14:paraId="4EAC5F8C" w14:textId="77777777" w:rsidR="007F0E64" w:rsidRPr="00B41924" w:rsidRDefault="007F0E64" w:rsidP="001351F2">
      <w:pPr>
        <w:pStyle w:val="Heading1"/>
        <w:rPr>
          <w:rFonts w:ascii="Arial" w:hAnsi="Arial" w:cs="Arial"/>
        </w:rPr>
      </w:pPr>
      <w:bookmarkStart w:id="89" w:name="_Toc156387057"/>
      <w:bookmarkStart w:id="90" w:name="_Toc162946413"/>
      <w:r w:rsidRPr="00B41924">
        <w:rPr>
          <w:rFonts w:ascii="Arial" w:hAnsi="Arial" w:cs="Arial"/>
        </w:rPr>
        <w:lastRenderedPageBreak/>
        <w:t>Contributions</w:t>
      </w:r>
      <w:bookmarkEnd w:id="89"/>
      <w:bookmarkEnd w:id="90"/>
    </w:p>
    <w:p w14:paraId="45DA4CFC" w14:textId="5FB26F76" w:rsidR="00BE490E" w:rsidRPr="00F00180" w:rsidRDefault="00BE490E" w:rsidP="001351F2">
      <w:pPr>
        <w:pStyle w:val="Caption"/>
        <w:keepNext/>
        <w:rPr>
          <w:sz w:val="24"/>
        </w:rPr>
      </w:pPr>
      <w:bookmarkStart w:id="91" w:name="_Toc156385637"/>
      <w:bookmarkStart w:id="92" w:name="_Toc162946423"/>
      <w:r w:rsidRPr="00F00180">
        <w:rPr>
          <w:b/>
          <w:sz w:val="24"/>
        </w:rPr>
        <w:t xml:space="preserve">Figure </w:t>
      </w:r>
      <w:r w:rsidR="00262139" w:rsidRPr="00F00180">
        <w:rPr>
          <w:b/>
          <w:sz w:val="24"/>
        </w:rPr>
        <w:fldChar w:fldCharType="begin"/>
      </w:r>
      <w:r w:rsidR="00262139" w:rsidRPr="00F00180">
        <w:rPr>
          <w:b/>
          <w:sz w:val="24"/>
        </w:rPr>
        <w:instrText xml:space="preserve"> SEQ Figure \* ARABIC </w:instrText>
      </w:r>
      <w:r w:rsidR="00262139" w:rsidRPr="00F00180">
        <w:rPr>
          <w:b/>
          <w:sz w:val="24"/>
        </w:rPr>
        <w:fldChar w:fldCharType="separate"/>
      </w:r>
      <w:r w:rsidR="00924761" w:rsidRPr="00F00180">
        <w:rPr>
          <w:b/>
          <w:sz w:val="24"/>
        </w:rPr>
        <w:t>8</w:t>
      </w:r>
      <w:r w:rsidR="00262139" w:rsidRPr="00F00180">
        <w:rPr>
          <w:b/>
          <w:sz w:val="24"/>
        </w:rPr>
        <w:fldChar w:fldCharType="end"/>
      </w:r>
      <w:r w:rsidRPr="00F00180">
        <w:rPr>
          <w:sz w:val="24"/>
        </w:rPr>
        <w:t xml:space="preserve">: </w:t>
      </w:r>
      <w:proofErr w:type="gramStart"/>
      <w:r w:rsidRPr="00F00180">
        <w:rPr>
          <w:sz w:val="24"/>
        </w:rPr>
        <w:t>Contributions</w:t>
      </w:r>
      <w:bookmarkEnd w:id="91"/>
      <w:bookmarkEnd w:id="92"/>
      <w:proofErr w:type="gramEnd"/>
    </w:p>
    <w:tbl>
      <w:tblPr>
        <w:tblW w:w="8905" w:type="dxa"/>
        <w:jc w:val="center"/>
        <w:tblLook w:val="04A0" w:firstRow="1" w:lastRow="0" w:firstColumn="1" w:lastColumn="0" w:noHBand="0" w:noVBand="1"/>
      </w:tblPr>
      <w:tblGrid>
        <w:gridCol w:w="6295"/>
        <w:gridCol w:w="1170"/>
        <w:gridCol w:w="1440"/>
      </w:tblGrid>
      <w:tr w:rsidR="009512FC" w:rsidRPr="009512FC" w14:paraId="64E69F11" w14:textId="77777777" w:rsidTr="00646EEC">
        <w:trPr>
          <w:trHeight w:val="600"/>
          <w:jc w:val="center"/>
        </w:trPr>
        <w:tc>
          <w:tcPr>
            <w:tcW w:w="629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C83231" w14:textId="77777777" w:rsidR="009512FC" w:rsidRPr="00F00180" w:rsidRDefault="009512FC" w:rsidP="001351F2">
            <w:pPr>
              <w:spacing w:after="0" w:line="240" w:lineRule="auto"/>
              <w:rPr>
                <w:rFonts w:ascii="Aptos Narrow" w:hAnsi="Aptos Narrow"/>
                <w:b/>
                <w:color w:val="000000"/>
                <w:sz w:val="20"/>
              </w:rPr>
            </w:pPr>
            <w:r w:rsidRPr="00F00180">
              <w:rPr>
                <w:rFonts w:ascii="Aptos Narrow" w:hAnsi="Aptos Narrow"/>
                <w:b/>
                <w:color w:val="000000"/>
                <w:sz w:val="20"/>
              </w:rPr>
              <w:t>Contribution Name</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353A690E" w14:textId="77777777" w:rsidR="009512FC" w:rsidRPr="00F00180" w:rsidRDefault="009512FC" w:rsidP="001351F2">
            <w:pPr>
              <w:spacing w:after="0" w:line="240" w:lineRule="auto"/>
              <w:rPr>
                <w:rFonts w:ascii="Aptos Narrow" w:hAnsi="Aptos Narrow"/>
                <w:b/>
                <w:color w:val="000000"/>
                <w:sz w:val="20"/>
              </w:rPr>
            </w:pPr>
            <w:r w:rsidRPr="00F00180">
              <w:rPr>
                <w:rFonts w:ascii="Aptos Narrow" w:hAnsi="Aptos Narrow"/>
                <w:b/>
                <w:color w:val="000000"/>
                <w:sz w:val="20"/>
              </w:rPr>
              <w:t>Submitter</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1CDCFD1A" w14:textId="77777777" w:rsidR="009512FC" w:rsidRPr="00F00180" w:rsidRDefault="009512FC" w:rsidP="001351F2">
            <w:pPr>
              <w:spacing w:after="0" w:line="240" w:lineRule="auto"/>
              <w:rPr>
                <w:rFonts w:ascii="Aptos Narrow" w:hAnsi="Aptos Narrow"/>
                <w:b/>
                <w:color w:val="000000"/>
                <w:sz w:val="20"/>
              </w:rPr>
            </w:pPr>
            <w:r w:rsidRPr="00F00180">
              <w:rPr>
                <w:rFonts w:ascii="Aptos Narrow" w:hAnsi="Aptos Narrow"/>
                <w:b/>
                <w:color w:val="000000"/>
                <w:sz w:val="20"/>
              </w:rPr>
              <w:t>Date Posted</w:t>
            </w:r>
          </w:p>
        </w:tc>
      </w:tr>
      <w:tr w:rsidR="009512FC" w:rsidRPr="009512FC" w14:paraId="24B756A7" w14:textId="77777777" w:rsidTr="00646EEC">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7E713A18"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(Proposed) CNTF112A - Address assignment rate of Non-Geographic (6YY) CO Codes</w:t>
            </w:r>
          </w:p>
        </w:tc>
        <w:tc>
          <w:tcPr>
            <w:tcW w:w="1170" w:type="dxa"/>
            <w:tcBorders>
              <w:top w:val="nil"/>
              <w:left w:val="nil"/>
              <w:bottom w:val="single" w:sz="4" w:space="0" w:color="auto"/>
              <w:right w:val="single" w:sz="4" w:space="0" w:color="auto"/>
            </w:tcBorders>
            <w:shd w:val="clear" w:color="auto" w:fill="auto"/>
            <w:vAlign w:val="bottom"/>
            <w:hideMark/>
          </w:tcPr>
          <w:p w14:paraId="58CEB2A3"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CSCN</w:t>
            </w:r>
          </w:p>
        </w:tc>
        <w:tc>
          <w:tcPr>
            <w:tcW w:w="1440" w:type="dxa"/>
            <w:tcBorders>
              <w:top w:val="nil"/>
              <w:left w:val="nil"/>
              <w:bottom w:val="single" w:sz="4" w:space="0" w:color="auto"/>
              <w:right w:val="single" w:sz="4" w:space="0" w:color="auto"/>
            </w:tcBorders>
            <w:shd w:val="clear" w:color="auto" w:fill="auto"/>
            <w:vAlign w:val="bottom"/>
            <w:hideMark/>
          </w:tcPr>
          <w:p w14:paraId="0CA8043D"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2022-08-25</w:t>
            </w:r>
          </w:p>
        </w:tc>
      </w:tr>
      <w:tr w:rsidR="009512FC" w:rsidRPr="009512FC" w14:paraId="35A34F17" w14:textId="77777777" w:rsidTr="00646EEC">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28840AE1"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CNCO198A - CNA contribution - January 2023 NRUF contribution</w:t>
            </w:r>
          </w:p>
        </w:tc>
        <w:tc>
          <w:tcPr>
            <w:tcW w:w="1170" w:type="dxa"/>
            <w:tcBorders>
              <w:top w:val="nil"/>
              <w:left w:val="nil"/>
              <w:bottom w:val="single" w:sz="4" w:space="0" w:color="auto"/>
              <w:right w:val="single" w:sz="4" w:space="0" w:color="auto"/>
            </w:tcBorders>
            <w:shd w:val="clear" w:color="auto" w:fill="auto"/>
            <w:vAlign w:val="bottom"/>
            <w:hideMark/>
          </w:tcPr>
          <w:p w14:paraId="6CA214C8"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CNA</w:t>
            </w:r>
          </w:p>
        </w:tc>
        <w:tc>
          <w:tcPr>
            <w:tcW w:w="1440" w:type="dxa"/>
            <w:tcBorders>
              <w:top w:val="nil"/>
              <w:left w:val="nil"/>
              <w:bottom w:val="single" w:sz="4" w:space="0" w:color="auto"/>
              <w:right w:val="single" w:sz="4" w:space="0" w:color="auto"/>
            </w:tcBorders>
            <w:shd w:val="clear" w:color="auto" w:fill="auto"/>
            <w:vAlign w:val="bottom"/>
            <w:hideMark/>
          </w:tcPr>
          <w:p w14:paraId="21041B98"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2022-08-30</w:t>
            </w:r>
          </w:p>
        </w:tc>
      </w:tr>
      <w:tr w:rsidR="009512FC" w:rsidRPr="009512FC" w14:paraId="39C6A996" w14:textId="77777777" w:rsidTr="00646EEC">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551DFA06"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 xml:space="preserve">CNCO199A - </w:t>
            </w:r>
            <w:proofErr w:type="gramStart"/>
            <w:r w:rsidRPr="00F00180">
              <w:rPr>
                <w:rFonts w:ascii="Aptos Narrow" w:hAnsi="Aptos Narrow"/>
                <w:color w:val="000000"/>
                <w:sz w:val="20"/>
              </w:rPr>
              <w:t>Rogers</w:t>
            </w:r>
            <w:proofErr w:type="gramEnd"/>
            <w:r w:rsidRPr="00F00180">
              <w:rPr>
                <w:rFonts w:ascii="Aptos Narrow" w:hAnsi="Aptos Narrow"/>
                <w:color w:val="000000"/>
                <w:sz w:val="20"/>
              </w:rPr>
              <w:t xml:space="preserve"> contribution - TIF 112 - Initial thoughts</w:t>
            </w:r>
          </w:p>
        </w:tc>
        <w:tc>
          <w:tcPr>
            <w:tcW w:w="1170" w:type="dxa"/>
            <w:tcBorders>
              <w:top w:val="nil"/>
              <w:left w:val="nil"/>
              <w:bottom w:val="single" w:sz="4" w:space="0" w:color="auto"/>
              <w:right w:val="single" w:sz="4" w:space="0" w:color="auto"/>
            </w:tcBorders>
            <w:shd w:val="clear" w:color="auto" w:fill="auto"/>
            <w:vAlign w:val="bottom"/>
            <w:hideMark/>
          </w:tcPr>
          <w:p w14:paraId="7A0D9BC2"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Rogers</w:t>
            </w:r>
          </w:p>
        </w:tc>
        <w:tc>
          <w:tcPr>
            <w:tcW w:w="1440" w:type="dxa"/>
            <w:tcBorders>
              <w:top w:val="nil"/>
              <w:left w:val="nil"/>
              <w:bottom w:val="single" w:sz="4" w:space="0" w:color="auto"/>
              <w:right w:val="single" w:sz="4" w:space="0" w:color="auto"/>
            </w:tcBorders>
            <w:shd w:val="clear" w:color="auto" w:fill="auto"/>
            <w:vAlign w:val="bottom"/>
            <w:hideMark/>
          </w:tcPr>
          <w:p w14:paraId="771D4AAC"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2022-09-07</w:t>
            </w:r>
          </w:p>
        </w:tc>
      </w:tr>
      <w:tr w:rsidR="009512FC" w:rsidRPr="009512FC" w14:paraId="7A393F03" w14:textId="77777777" w:rsidTr="00646EEC">
        <w:trPr>
          <w:trHeight w:val="6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1564B823"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 xml:space="preserve">CNCO201A - </w:t>
            </w:r>
            <w:proofErr w:type="gramStart"/>
            <w:r w:rsidRPr="00F00180">
              <w:rPr>
                <w:rFonts w:ascii="Aptos Narrow" w:hAnsi="Aptos Narrow"/>
                <w:color w:val="000000"/>
                <w:sz w:val="20"/>
              </w:rPr>
              <w:t>Rogers</w:t>
            </w:r>
            <w:proofErr w:type="gramEnd"/>
            <w:r w:rsidRPr="00F00180">
              <w:rPr>
                <w:rFonts w:ascii="Aptos Narrow" w:hAnsi="Aptos Narrow"/>
                <w:color w:val="000000"/>
                <w:sz w:val="20"/>
              </w:rPr>
              <w:t xml:space="preserve"> contribution - TIF 112 - Chronology and Proposal for Services Grouping</w:t>
            </w:r>
          </w:p>
        </w:tc>
        <w:tc>
          <w:tcPr>
            <w:tcW w:w="1170" w:type="dxa"/>
            <w:tcBorders>
              <w:top w:val="nil"/>
              <w:left w:val="nil"/>
              <w:bottom w:val="single" w:sz="4" w:space="0" w:color="auto"/>
              <w:right w:val="single" w:sz="4" w:space="0" w:color="auto"/>
            </w:tcBorders>
            <w:shd w:val="clear" w:color="auto" w:fill="auto"/>
            <w:vAlign w:val="bottom"/>
            <w:hideMark/>
          </w:tcPr>
          <w:p w14:paraId="53F8C59E"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Rogers</w:t>
            </w:r>
          </w:p>
        </w:tc>
        <w:tc>
          <w:tcPr>
            <w:tcW w:w="1440" w:type="dxa"/>
            <w:tcBorders>
              <w:top w:val="nil"/>
              <w:left w:val="nil"/>
              <w:bottom w:val="single" w:sz="4" w:space="0" w:color="auto"/>
              <w:right w:val="single" w:sz="4" w:space="0" w:color="auto"/>
            </w:tcBorders>
            <w:shd w:val="clear" w:color="auto" w:fill="auto"/>
            <w:vAlign w:val="bottom"/>
            <w:hideMark/>
          </w:tcPr>
          <w:p w14:paraId="09C2335D"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2022-11-04</w:t>
            </w:r>
          </w:p>
        </w:tc>
      </w:tr>
      <w:tr w:rsidR="009512FC" w:rsidRPr="009512FC" w14:paraId="35304301" w14:textId="77777777" w:rsidTr="00646EEC">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01335A31"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CNCO202A - CSCN contribution - TIF 112 - Letter from CSCN to NTWG</w:t>
            </w:r>
          </w:p>
        </w:tc>
        <w:tc>
          <w:tcPr>
            <w:tcW w:w="1170" w:type="dxa"/>
            <w:tcBorders>
              <w:top w:val="nil"/>
              <w:left w:val="nil"/>
              <w:bottom w:val="single" w:sz="4" w:space="0" w:color="auto"/>
              <w:right w:val="single" w:sz="4" w:space="0" w:color="auto"/>
            </w:tcBorders>
            <w:shd w:val="clear" w:color="auto" w:fill="auto"/>
            <w:vAlign w:val="bottom"/>
            <w:hideMark/>
          </w:tcPr>
          <w:p w14:paraId="2A17C645"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CSCN</w:t>
            </w:r>
          </w:p>
        </w:tc>
        <w:tc>
          <w:tcPr>
            <w:tcW w:w="1440" w:type="dxa"/>
            <w:tcBorders>
              <w:top w:val="nil"/>
              <w:left w:val="nil"/>
              <w:bottom w:val="single" w:sz="4" w:space="0" w:color="auto"/>
              <w:right w:val="single" w:sz="4" w:space="0" w:color="auto"/>
            </w:tcBorders>
            <w:shd w:val="clear" w:color="auto" w:fill="auto"/>
            <w:vAlign w:val="bottom"/>
            <w:hideMark/>
          </w:tcPr>
          <w:p w14:paraId="6D1E0EF2"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2022-12-01</w:t>
            </w:r>
          </w:p>
        </w:tc>
      </w:tr>
      <w:tr w:rsidR="009512FC" w:rsidRPr="009512FC" w14:paraId="6BEEE228" w14:textId="77777777" w:rsidTr="00646EEC">
        <w:trPr>
          <w:trHeight w:val="6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17873A95"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CNCO203A - CNA contribution - TIF 112 - Comparison between January 2022 and July 2022 Non-Geographic NRUF forecasts</w:t>
            </w:r>
          </w:p>
        </w:tc>
        <w:tc>
          <w:tcPr>
            <w:tcW w:w="1170" w:type="dxa"/>
            <w:tcBorders>
              <w:top w:val="nil"/>
              <w:left w:val="nil"/>
              <w:bottom w:val="single" w:sz="4" w:space="0" w:color="auto"/>
              <w:right w:val="single" w:sz="4" w:space="0" w:color="auto"/>
            </w:tcBorders>
            <w:shd w:val="clear" w:color="auto" w:fill="auto"/>
            <w:vAlign w:val="bottom"/>
            <w:hideMark/>
          </w:tcPr>
          <w:p w14:paraId="39DF28F7"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CNA</w:t>
            </w:r>
          </w:p>
        </w:tc>
        <w:tc>
          <w:tcPr>
            <w:tcW w:w="1440" w:type="dxa"/>
            <w:tcBorders>
              <w:top w:val="nil"/>
              <w:left w:val="nil"/>
              <w:bottom w:val="single" w:sz="4" w:space="0" w:color="auto"/>
              <w:right w:val="single" w:sz="4" w:space="0" w:color="auto"/>
            </w:tcBorders>
            <w:shd w:val="clear" w:color="auto" w:fill="auto"/>
            <w:vAlign w:val="bottom"/>
            <w:hideMark/>
          </w:tcPr>
          <w:p w14:paraId="41336678"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2022-12-07</w:t>
            </w:r>
          </w:p>
        </w:tc>
      </w:tr>
      <w:tr w:rsidR="009512FC" w:rsidRPr="009512FC" w14:paraId="66D5C1EF" w14:textId="77777777" w:rsidTr="00646EEC">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46670D32"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 xml:space="preserve">CNCO202B - CSCN contribution - TIF 112 - Letter from CSCN to NTWG </w:t>
            </w:r>
          </w:p>
        </w:tc>
        <w:tc>
          <w:tcPr>
            <w:tcW w:w="1170" w:type="dxa"/>
            <w:tcBorders>
              <w:top w:val="nil"/>
              <w:left w:val="nil"/>
              <w:bottom w:val="single" w:sz="4" w:space="0" w:color="auto"/>
              <w:right w:val="single" w:sz="4" w:space="0" w:color="auto"/>
            </w:tcBorders>
            <w:shd w:val="clear" w:color="auto" w:fill="auto"/>
            <w:vAlign w:val="bottom"/>
            <w:hideMark/>
          </w:tcPr>
          <w:p w14:paraId="7A7209F5"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CSCN</w:t>
            </w:r>
          </w:p>
        </w:tc>
        <w:tc>
          <w:tcPr>
            <w:tcW w:w="1440" w:type="dxa"/>
            <w:tcBorders>
              <w:top w:val="nil"/>
              <w:left w:val="nil"/>
              <w:bottom w:val="single" w:sz="4" w:space="0" w:color="auto"/>
              <w:right w:val="single" w:sz="4" w:space="0" w:color="auto"/>
            </w:tcBorders>
            <w:shd w:val="clear" w:color="auto" w:fill="auto"/>
            <w:vAlign w:val="bottom"/>
            <w:hideMark/>
          </w:tcPr>
          <w:p w14:paraId="03F4F132"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2022-12-07</w:t>
            </w:r>
          </w:p>
        </w:tc>
      </w:tr>
      <w:tr w:rsidR="009512FC" w:rsidRPr="009512FC" w14:paraId="3EADF2D3" w14:textId="77777777" w:rsidTr="00646EEC">
        <w:trPr>
          <w:trHeight w:val="6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317DE590"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CNCO203B - CNA contribution - TIF 112 - Comparison between January 2022 and July 2022 Non-Geographic NRUF forecasts</w:t>
            </w:r>
          </w:p>
        </w:tc>
        <w:tc>
          <w:tcPr>
            <w:tcW w:w="1170" w:type="dxa"/>
            <w:tcBorders>
              <w:top w:val="nil"/>
              <w:left w:val="nil"/>
              <w:bottom w:val="single" w:sz="4" w:space="0" w:color="auto"/>
              <w:right w:val="single" w:sz="4" w:space="0" w:color="auto"/>
            </w:tcBorders>
            <w:shd w:val="clear" w:color="auto" w:fill="auto"/>
            <w:vAlign w:val="bottom"/>
            <w:hideMark/>
          </w:tcPr>
          <w:p w14:paraId="45DC82D4"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CNA</w:t>
            </w:r>
          </w:p>
        </w:tc>
        <w:tc>
          <w:tcPr>
            <w:tcW w:w="1440" w:type="dxa"/>
            <w:tcBorders>
              <w:top w:val="nil"/>
              <w:left w:val="nil"/>
              <w:bottom w:val="single" w:sz="4" w:space="0" w:color="auto"/>
              <w:right w:val="single" w:sz="4" w:space="0" w:color="auto"/>
            </w:tcBorders>
            <w:shd w:val="clear" w:color="auto" w:fill="auto"/>
            <w:vAlign w:val="bottom"/>
            <w:hideMark/>
          </w:tcPr>
          <w:p w14:paraId="3793DDBA"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2022-12-15</w:t>
            </w:r>
          </w:p>
        </w:tc>
      </w:tr>
      <w:tr w:rsidR="009512FC" w:rsidRPr="009512FC" w14:paraId="464D88AB" w14:textId="77777777" w:rsidTr="00646EEC">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324962B8"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 xml:space="preserve">CNCO204A - </w:t>
            </w:r>
            <w:proofErr w:type="gramStart"/>
            <w:r w:rsidRPr="00F00180">
              <w:rPr>
                <w:rFonts w:ascii="Aptos Narrow" w:hAnsi="Aptos Narrow"/>
                <w:color w:val="000000"/>
                <w:sz w:val="20"/>
              </w:rPr>
              <w:t>Rogers</w:t>
            </w:r>
            <w:proofErr w:type="gramEnd"/>
            <w:r w:rsidRPr="00F00180">
              <w:rPr>
                <w:rFonts w:ascii="Aptos Narrow" w:hAnsi="Aptos Narrow"/>
                <w:color w:val="000000"/>
                <w:sz w:val="20"/>
              </w:rPr>
              <w:t xml:space="preserve"> contribution - TIF 112 - Draft TIF report for TIF 112</w:t>
            </w:r>
          </w:p>
        </w:tc>
        <w:tc>
          <w:tcPr>
            <w:tcW w:w="1170" w:type="dxa"/>
            <w:tcBorders>
              <w:top w:val="nil"/>
              <w:left w:val="nil"/>
              <w:bottom w:val="single" w:sz="4" w:space="0" w:color="auto"/>
              <w:right w:val="single" w:sz="4" w:space="0" w:color="auto"/>
            </w:tcBorders>
            <w:shd w:val="clear" w:color="auto" w:fill="auto"/>
            <w:vAlign w:val="bottom"/>
            <w:hideMark/>
          </w:tcPr>
          <w:p w14:paraId="445CED0F"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Rogers</w:t>
            </w:r>
          </w:p>
        </w:tc>
        <w:tc>
          <w:tcPr>
            <w:tcW w:w="1440" w:type="dxa"/>
            <w:tcBorders>
              <w:top w:val="nil"/>
              <w:left w:val="nil"/>
              <w:bottom w:val="single" w:sz="4" w:space="0" w:color="auto"/>
              <w:right w:val="single" w:sz="4" w:space="0" w:color="auto"/>
            </w:tcBorders>
            <w:shd w:val="clear" w:color="auto" w:fill="auto"/>
            <w:vAlign w:val="bottom"/>
            <w:hideMark/>
          </w:tcPr>
          <w:p w14:paraId="3BFF257A"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2022-12-15</w:t>
            </w:r>
          </w:p>
        </w:tc>
      </w:tr>
      <w:tr w:rsidR="009512FC" w:rsidRPr="009512FC" w14:paraId="6D892A82" w14:textId="77777777" w:rsidTr="00646EEC">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2780EFAC"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CNCO204B - CSCN contribution - TIF 112 - Draft TIF report for TIF 112</w:t>
            </w:r>
          </w:p>
        </w:tc>
        <w:tc>
          <w:tcPr>
            <w:tcW w:w="1170" w:type="dxa"/>
            <w:tcBorders>
              <w:top w:val="nil"/>
              <w:left w:val="nil"/>
              <w:bottom w:val="single" w:sz="4" w:space="0" w:color="auto"/>
              <w:right w:val="single" w:sz="4" w:space="0" w:color="auto"/>
            </w:tcBorders>
            <w:shd w:val="clear" w:color="auto" w:fill="auto"/>
            <w:vAlign w:val="bottom"/>
            <w:hideMark/>
          </w:tcPr>
          <w:p w14:paraId="18777460"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CSCN</w:t>
            </w:r>
          </w:p>
        </w:tc>
        <w:tc>
          <w:tcPr>
            <w:tcW w:w="1440" w:type="dxa"/>
            <w:tcBorders>
              <w:top w:val="nil"/>
              <w:left w:val="nil"/>
              <w:bottom w:val="single" w:sz="4" w:space="0" w:color="auto"/>
              <w:right w:val="single" w:sz="4" w:space="0" w:color="auto"/>
            </w:tcBorders>
            <w:shd w:val="clear" w:color="auto" w:fill="auto"/>
            <w:vAlign w:val="bottom"/>
            <w:hideMark/>
          </w:tcPr>
          <w:p w14:paraId="39B84704"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2023-01-12</w:t>
            </w:r>
          </w:p>
        </w:tc>
      </w:tr>
      <w:tr w:rsidR="009512FC" w:rsidRPr="009512FC" w14:paraId="42FF114B" w14:textId="77777777" w:rsidTr="00646EEC">
        <w:trPr>
          <w:trHeight w:val="6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4230B70F"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NTCO0736 - NTWG contribution from COMsolve - Request from CSCN regarding assistance with CSCN TIF 112</w:t>
            </w:r>
          </w:p>
        </w:tc>
        <w:tc>
          <w:tcPr>
            <w:tcW w:w="1170" w:type="dxa"/>
            <w:tcBorders>
              <w:top w:val="nil"/>
              <w:left w:val="nil"/>
              <w:bottom w:val="single" w:sz="4" w:space="0" w:color="auto"/>
              <w:right w:val="single" w:sz="4" w:space="0" w:color="auto"/>
            </w:tcBorders>
            <w:shd w:val="clear" w:color="auto" w:fill="auto"/>
            <w:vAlign w:val="bottom"/>
            <w:hideMark/>
          </w:tcPr>
          <w:p w14:paraId="61EBA1C6"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COMsolve</w:t>
            </w:r>
          </w:p>
        </w:tc>
        <w:tc>
          <w:tcPr>
            <w:tcW w:w="1440" w:type="dxa"/>
            <w:tcBorders>
              <w:top w:val="nil"/>
              <w:left w:val="nil"/>
              <w:bottom w:val="single" w:sz="4" w:space="0" w:color="auto"/>
              <w:right w:val="single" w:sz="4" w:space="0" w:color="auto"/>
            </w:tcBorders>
            <w:shd w:val="clear" w:color="auto" w:fill="auto"/>
            <w:vAlign w:val="bottom"/>
            <w:hideMark/>
          </w:tcPr>
          <w:p w14:paraId="27AA1547"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2023-02-08</w:t>
            </w:r>
          </w:p>
        </w:tc>
      </w:tr>
      <w:tr w:rsidR="009512FC" w:rsidRPr="009512FC" w14:paraId="3159BF47" w14:textId="77777777" w:rsidTr="00646EEC">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4E47558B"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CNCO205A - Comparison between 11-digit numbering and 15-digit numbering pools</w:t>
            </w:r>
          </w:p>
        </w:tc>
        <w:tc>
          <w:tcPr>
            <w:tcW w:w="1170" w:type="dxa"/>
            <w:tcBorders>
              <w:top w:val="nil"/>
              <w:left w:val="nil"/>
              <w:bottom w:val="single" w:sz="4" w:space="0" w:color="auto"/>
              <w:right w:val="single" w:sz="4" w:space="0" w:color="auto"/>
            </w:tcBorders>
            <w:shd w:val="clear" w:color="auto" w:fill="auto"/>
            <w:vAlign w:val="bottom"/>
            <w:hideMark/>
          </w:tcPr>
          <w:p w14:paraId="21A99389"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CNA</w:t>
            </w:r>
          </w:p>
        </w:tc>
        <w:tc>
          <w:tcPr>
            <w:tcW w:w="1440" w:type="dxa"/>
            <w:tcBorders>
              <w:top w:val="nil"/>
              <w:left w:val="nil"/>
              <w:bottom w:val="single" w:sz="4" w:space="0" w:color="auto"/>
              <w:right w:val="single" w:sz="4" w:space="0" w:color="auto"/>
            </w:tcBorders>
            <w:shd w:val="clear" w:color="auto" w:fill="auto"/>
            <w:vAlign w:val="bottom"/>
            <w:hideMark/>
          </w:tcPr>
          <w:p w14:paraId="018DA0AD"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2023-03-06</w:t>
            </w:r>
          </w:p>
        </w:tc>
      </w:tr>
      <w:tr w:rsidR="009512FC" w:rsidRPr="009512FC" w14:paraId="4549DE98" w14:textId="77777777" w:rsidTr="00646EEC">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5B0BC3A2"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CNCO206A - TIF 112 – report planning</w:t>
            </w:r>
          </w:p>
        </w:tc>
        <w:tc>
          <w:tcPr>
            <w:tcW w:w="1170" w:type="dxa"/>
            <w:tcBorders>
              <w:top w:val="nil"/>
              <w:left w:val="nil"/>
              <w:bottom w:val="single" w:sz="4" w:space="0" w:color="auto"/>
              <w:right w:val="single" w:sz="4" w:space="0" w:color="auto"/>
            </w:tcBorders>
            <w:shd w:val="clear" w:color="auto" w:fill="auto"/>
            <w:vAlign w:val="bottom"/>
            <w:hideMark/>
          </w:tcPr>
          <w:p w14:paraId="6D5D1612"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Rogers</w:t>
            </w:r>
          </w:p>
        </w:tc>
        <w:tc>
          <w:tcPr>
            <w:tcW w:w="1440" w:type="dxa"/>
            <w:tcBorders>
              <w:top w:val="nil"/>
              <w:left w:val="nil"/>
              <w:bottom w:val="single" w:sz="4" w:space="0" w:color="auto"/>
              <w:right w:val="single" w:sz="4" w:space="0" w:color="auto"/>
            </w:tcBorders>
            <w:shd w:val="clear" w:color="auto" w:fill="auto"/>
            <w:vAlign w:val="bottom"/>
            <w:hideMark/>
          </w:tcPr>
          <w:p w14:paraId="2724AE92"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2023-03-16</w:t>
            </w:r>
          </w:p>
        </w:tc>
      </w:tr>
      <w:tr w:rsidR="009512FC" w:rsidRPr="009512FC" w14:paraId="44EF375B" w14:textId="77777777" w:rsidTr="00646EEC">
        <w:trPr>
          <w:trHeight w:val="6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3DED58F7"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CNCO207A - TIF 112 Request from CSCN regarding assistance with CSCN TIF 112 Part 2</w:t>
            </w:r>
          </w:p>
        </w:tc>
        <w:tc>
          <w:tcPr>
            <w:tcW w:w="1170" w:type="dxa"/>
            <w:tcBorders>
              <w:top w:val="nil"/>
              <w:left w:val="nil"/>
              <w:bottom w:val="single" w:sz="4" w:space="0" w:color="auto"/>
              <w:right w:val="single" w:sz="4" w:space="0" w:color="auto"/>
            </w:tcBorders>
            <w:shd w:val="clear" w:color="auto" w:fill="auto"/>
            <w:vAlign w:val="bottom"/>
            <w:hideMark/>
          </w:tcPr>
          <w:p w14:paraId="557ADD36"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COMsolve</w:t>
            </w:r>
          </w:p>
        </w:tc>
        <w:tc>
          <w:tcPr>
            <w:tcW w:w="1440" w:type="dxa"/>
            <w:tcBorders>
              <w:top w:val="nil"/>
              <w:left w:val="nil"/>
              <w:bottom w:val="single" w:sz="4" w:space="0" w:color="auto"/>
              <w:right w:val="single" w:sz="4" w:space="0" w:color="auto"/>
            </w:tcBorders>
            <w:shd w:val="clear" w:color="auto" w:fill="auto"/>
            <w:vAlign w:val="bottom"/>
            <w:hideMark/>
          </w:tcPr>
          <w:p w14:paraId="65854685"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2023-03-16</w:t>
            </w:r>
          </w:p>
        </w:tc>
      </w:tr>
      <w:tr w:rsidR="009512FC" w:rsidRPr="009512FC" w14:paraId="29771342" w14:textId="77777777" w:rsidTr="00646EEC">
        <w:trPr>
          <w:trHeight w:val="6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282B6C23"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CNCO208A - CNA contribution - TIF 112 – Comparison of Non-Geographic NRUF from January 2022 through January 2023</w:t>
            </w:r>
          </w:p>
        </w:tc>
        <w:tc>
          <w:tcPr>
            <w:tcW w:w="1170" w:type="dxa"/>
            <w:tcBorders>
              <w:top w:val="nil"/>
              <w:left w:val="nil"/>
              <w:bottom w:val="single" w:sz="4" w:space="0" w:color="auto"/>
              <w:right w:val="single" w:sz="4" w:space="0" w:color="auto"/>
            </w:tcBorders>
            <w:shd w:val="clear" w:color="auto" w:fill="auto"/>
            <w:vAlign w:val="bottom"/>
            <w:hideMark/>
          </w:tcPr>
          <w:p w14:paraId="24E03888"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CNA</w:t>
            </w:r>
          </w:p>
        </w:tc>
        <w:tc>
          <w:tcPr>
            <w:tcW w:w="1440" w:type="dxa"/>
            <w:tcBorders>
              <w:top w:val="nil"/>
              <w:left w:val="nil"/>
              <w:bottom w:val="single" w:sz="4" w:space="0" w:color="auto"/>
              <w:right w:val="single" w:sz="4" w:space="0" w:color="auto"/>
            </w:tcBorders>
            <w:shd w:val="clear" w:color="auto" w:fill="auto"/>
            <w:vAlign w:val="bottom"/>
            <w:hideMark/>
          </w:tcPr>
          <w:p w14:paraId="48E58DA0"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2023-03-29</w:t>
            </w:r>
          </w:p>
        </w:tc>
      </w:tr>
      <w:tr w:rsidR="009512FC" w:rsidRPr="009512FC" w14:paraId="4FE3F058" w14:textId="77777777" w:rsidTr="00646EEC">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582AA68A"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 xml:space="preserve">CNCO204C - </w:t>
            </w:r>
            <w:proofErr w:type="gramStart"/>
            <w:r w:rsidRPr="00F00180">
              <w:rPr>
                <w:rFonts w:ascii="Aptos Narrow" w:hAnsi="Aptos Narrow"/>
                <w:color w:val="000000"/>
                <w:sz w:val="20"/>
              </w:rPr>
              <w:t>Rogers</w:t>
            </w:r>
            <w:proofErr w:type="gramEnd"/>
            <w:r w:rsidRPr="00F00180">
              <w:rPr>
                <w:rFonts w:ascii="Aptos Narrow" w:hAnsi="Aptos Narrow"/>
                <w:color w:val="000000"/>
                <w:sz w:val="20"/>
              </w:rPr>
              <w:t xml:space="preserve"> contribution - TIF 112 – Draft TIF report for TIF 112</w:t>
            </w:r>
          </w:p>
        </w:tc>
        <w:tc>
          <w:tcPr>
            <w:tcW w:w="1170" w:type="dxa"/>
            <w:tcBorders>
              <w:top w:val="nil"/>
              <w:left w:val="nil"/>
              <w:bottom w:val="single" w:sz="4" w:space="0" w:color="auto"/>
              <w:right w:val="single" w:sz="4" w:space="0" w:color="auto"/>
            </w:tcBorders>
            <w:shd w:val="clear" w:color="auto" w:fill="auto"/>
            <w:vAlign w:val="bottom"/>
            <w:hideMark/>
          </w:tcPr>
          <w:p w14:paraId="7743D49F"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Rogers</w:t>
            </w:r>
          </w:p>
        </w:tc>
        <w:tc>
          <w:tcPr>
            <w:tcW w:w="1440" w:type="dxa"/>
            <w:tcBorders>
              <w:top w:val="nil"/>
              <w:left w:val="nil"/>
              <w:bottom w:val="single" w:sz="4" w:space="0" w:color="auto"/>
              <w:right w:val="single" w:sz="4" w:space="0" w:color="auto"/>
            </w:tcBorders>
            <w:shd w:val="clear" w:color="auto" w:fill="auto"/>
            <w:vAlign w:val="bottom"/>
            <w:hideMark/>
          </w:tcPr>
          <w:p w14:paraId="0040C576"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2023-04-03</w:t>
            </w:r>
          </w:p>
        </w:tc>
      </w:tr>
      <w:tr w:rsidR="009512FC" w:rsidRPr="009512FC" w14:paraId="130705AA" w14:textId="77777777" w:rsidTr="00646EEC">
        <w:trPr>
          <w:trHeight w:val="6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76884DD0"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CNA Contribution - April 2023 North American Numbering Plan (NANP)</w:t>
            </w:r>
            <w:r w:rsidRPr="00F00180">
              <w:rPr>
                <w:rFonts w:ascii="Aptos Narrow" w:hAnsi="Aptos Narrow"/>
                <w:color w:val="000000"/>
                <w:sz w:val="20"/>
              </w:rPr>
              <w:br/>
              <w:t>Exhaust Analysis</w:t>
            </w:r>
          </w:p>
        </w:tc>
        <w:tc>
          <w:tcPr>
            <w:tcW w:w="1170" w:type="dxa"/>
            <w:tcBorders>
              <w:top w:val="nil"/>
              <w:left w:val="nil"/>
              <w:bottom w:val="single" w:sz="4" w:space="0" w:color="auto"/>
              <w:right w:val="single" w:sz="4" w:space="0" w:color="auto"/>
            </w:tcBorders>
            <w:shd w:val="clear" w:color="auto" w:fill="auto"/>
            <w:vAlign w:val="bottom"/>
            <w:hideMark/>
          </w:tcPr>
          <w:p w14:paraId="661E17BA"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CNA</w:t>
            </w:r>
          </w:p>
        </w:tc>
        <w:tc>
          <w:tcPr>
            <w:tcW w:w="1440" w:type="dxa"/>
            <w:tcBorders>
              <w:top w:val="nil"/>
              <w:left w:val="nil"/>
              <w:bottom w:val="single" w:sz="4" w:space="0" w:color="auto"/>
              <w:right w:val="single" w:sz="4" w:space="0" w:color="auto"/>
            </w:tcBorders>
            <w:shd w:val="clear" w:color="auto" w:fill="auto"/>
            <w:vAlign w:val="bottom"/>
            <w:hideMark/>
          </w:tcPr>
          <w:p w14:paraId="2B811B74"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2023-05-10</w:t>
            </w:r>
          </w:p>
        </w:tc>
      </w:tr>
      <w:tr w:rsidR="009512FC" w:rsidRPr="009512FC" w14:paraId="0CC3877F" w14:textId="77777777" w:rsidTr="00646EEC">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0F70FA0A"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CNTF112F - Address Assignment rate of Non-Geographic (6YY) CO Codes - REVISED</w:t>
            </w:r>
          </w:p>
        </w:tc>
        <w:tc>
          <w:tcPr>
            <w:tcW w:w="1170" w:type="dxa"/>
            <w:tcBorders>
              <w:top w:val="nil"/>
              <w:left w:val="nil"/>
              <w:bottom w:val="single" w:sz="4" w:space="0" w:color="auto"/>
              <w:right w:val="single" w:sz="4" w:space="0" w:color="auto"/>
            </w:tcBorders>
            <w:shd w:val="clear" w:color="auto" w:fill="auto"/>
            <w:vAlign w:val="bottom"/>
            <w:hideMark/>
          </w:tcPr>
          <w:p w14:paraId="7C351CB5"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CSCN</w:t>
            </w:r>
          </w:p>
        </w:tc>
        <w:tc>
          <w:tcPr>
            <w:tcW w:w="1440" w:type="dxa"/>
            <w:tcBorders>
              <w:top w:val="nil"/>
              <w:left w:val="nil"/>
              <w:bottom w:val="single" w:sz="4" w:space="0" w:color="auto"/>
              <w:right w:val="single" w:sz="4" w:space="0" w:color="auto"/>
            </w:tcBorders>
            <w:shd w:val="clear" w:color="auto" w:fill="auto"/>
            <w:vAlign w:val="bottom"/>
            <w:hideMark/>
          </w:tcPr>
          <w:p w14:paraId="1C9B4C1C"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2023-06-21</w:t>
            </w:r>
          </w:p>
        </w:tc>
      </w:tr>
      <w:tr w:rsidR="009512FC" w:rsidRPr="009512FC" w14:paraId="51DC9001" w14:textId="77777777" w:rsidTr="00646EEC">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4431C4E4"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 xml:space="preserve">CNCO204D - </w:t>
            </w:r>
            <w:proofErr w:type="gramStart"/>
            <w:r w:rsidRPr="00F00180">
              <w:rPr>
                <w:rFonts w:ascii="Aptos Narrow" w:hAnsi="Aptos Narrow"/>
                <w:color w:val="000000"/>
                <w:sz w:val="20"/>
              </w:rPr>
              <w:t>Rogers</w:t>
            </w:r>
            <w:proofErr w:type="gramEnd"/>
            <w:r w:rsidRPr="00F00180">
              <w:rPr>
                <w:rFonts w:ascii="Aptos Narrow" w:hAnsi="Aptos Narrow"/>
                <w:color w:val="000000"/>
                <w:sz w:val="20"/>
              </w:rPr>
              <w:t xml:space="preserve"> contribution - TIF 112 – Draft TIF report for TIF 112</w:t>
            </w:r>
          </w:p>
        </w:tc>
        <w:tc>
          <w:tcPr>
            <w:tcW w:w="1170" w:type="dxa"/>
            <w:tcBorders>
              <w:top w:val="nil"/>
              <w:left w:val="nil"/>
              <w:bottom w:val="single" w:sz="4" w:space="0" w:color="auto"/>
              <w:right w:val="single" w:sz="4" w:space="0" w:color="auto"/>
            </w:tcBorders>
            <w:shd w:val="clear" w:color="auto" w:fill="auto"/>
            <w:vAlign w:val="bottom"/>
            <w:hideMark/>
          </w:tcPr>
          <w:p w14:paraId="445B29AE"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CSCN</w:t>
            </w:r>
          </w:p>
        </w:tc>
        <w:tc>
          <w:tcPr>
            <w:tcW w:w="1440" w:type="dxa"/>
            <w:tcBorders>
              <w:top w:val="nil"/>
              <w:left w:val="nil"/>
              <w:bottom w:val="single" w:sz="4" w:space="0" w:color="auto"/>
              <w:right w:val="single" w:sz="4" w:space="0" w:color="auto"/>
            </w:tcBorders>
            <w:shd w:val="clear" w:color="auto" w:fill="auto"/>
            <w:vAlign w:val="bottom"/>
            <w:hideMark/>
          </w:tcPr>
          <w:p w14:paraId="785AE3A8"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2023-06-27</w:t>
            </w:r>
          </w:p>
        </w:tc>
      </w:tr>
      <w:tr w:rsidR="009512FC" w:rsidRPr="009512FC" w14:paraId="06B3B243" w14:textId="77777777" w:rsidTr="00646EEC">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158D4677"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 xml:space="preserve">CNCO204E - </w:t>
            </w:r>
            <w:proofErr w:type="gramStart"/>
            <w:r w:rsidRPr="00F00180">
              <w:rPr>
                <w:rFonts w:ascii="Aptos Narrow" w:hAnsi="Aptos Narrow"/>
                <w:color w:val="000000"/>
                <w:sz w:val="20"/>
              </w:rPr>
              <w:t>Rogers</w:t>
            </w:r>
            <w:proofErr w:type="gramEnd"/>
            <w:r w:rsidRPr="00F00180">
              <w:rPr>
                <w:rFonts w:ascii="Aptos Narrow" w:hAnsi="Aptos Narrow"/>
                <w:color w:val="000000"/>
                <w:sz w:val="20"/>
              </w:rPr>
              <w:t xml:space="preserve"> contribution - TIF 112 – Draft TIF report for TIF 112</w:t>
            </w:r>
          </w:p>
        </w:tc>
        <w:tc>
          <w:tcPr>
            <w:tcW w:w="1170" w:type="dxa"/>
            <w:tcBorders>
              <w:top w:val="nil"/>
              <w:left w:val="nil"/>
              <w:bottom w:val="single" w:sz="4" w:space="0" w:color="auto"/>
              <w:right w:val="single" w:sz="4" w:space="0" w:color="auto"/>
            </w:tcBorders>
            <w:shd w:val="clear" w:color="auto" w:fill="auto"/>
            <w:vAlign w:val="bottom"/>
            <w:hideMark/>
          </w:tcPr>
          <w:p w14:paraId="67D4FD5F"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CSCN</w:t>
            </w:r>
          </w:p>
        </w:tc>
        <w:tc>
          <w:tcPr>
            <w:tcW w:w="1440" w:type="dxa"/>
            <w:tcBorders>
              <w:top w:val="nil"/>
              <w:left w:val="nil"/>
              <w:bottom w:val="single" w:sz="4" w:space="0" w:color="auto"/>
              <w:right w:val="single" w:sz="4" w:space="0" w:color="auto"/>
            </w:tcBorders>
            <w:shd w:val="clear" w:color="auto" w:fill="auto"/>
            <w:vAlign w:val="bottom"/>
            <w:hideMark/>
          </w:tcPr>
          <w:p w14:paraId="710923EA"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2023-06-30</w:t>
            </w:r>
          </w:p>
        </w:tc>
      </w:tr>
      <w:tr w:rsidR="009512FC" w:rsidRPr="009512FC" w14:paraId="10EA9E14" w14:textId="77777777" w:rsidTr="00646EEC">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36CA5755"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 xml:space="preserve">CNCO204F - </w:t>
            </w:r>
            <w:proofErr w:type="gramStart"/>
            <w:r w:rsidRPr="00F00180">
              <w:rPr>
                <w:rFonts w:ascii="Aptos Narrow" w:hAnsi="Aptos Narrow"/>
                <w:color w:val="000000"/>
                <w:sz w:val="20"/>
              </w:rPr>
              <w:t>Rogers</w:t>
            </w:r>
            <w:proofErr w:type="gramEnd"/>
            <w:r w:rsidRPr="00F00180">
              <w:rPr>
                <w:rFonts w:ascii="Aptos Narrow" w:hAnsi="Aptos Narrow"/>
                <w:color w:val="000000"/>
                <w:sz w:val="20"/>
              </w:rPr>
              <w:t xml:space="preserve"> contribution - TIF 112 – Draft TIF report for TIF 112</w:t>
            </w:r>
          </w:p>
        </w:tc>
        <w:tc>
          <w:tcPr>
            <w:tcW w:w="1170" w:type="dxa"/>
            <w:tcBorders>
              <w:top w:val="nil"/>
              <w:left w:val="nil"/>
              <w:bottom w:val="single" w:sz="4" w:space="0" w:color="auto"/>
              <w:right w:val="single" w:sz="4" w:space="0" w:color="auto"/>
            </w:tcBorders>
            <w:shd w:val="clear" w:color="auto" w:fill="auto"/>
            <w:vAlign w:val="bottom"/>
            <w:hideMark/>
          </w:tcPr>
          <w:p w14:paraId="0B852B0E"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CSCN</w:t>
            </w:r>
          </w:p>
        </w:tc>
        <w:tc>
          <w:tcPr>
            <w:tcW w:w="1440" w:type="dxa"/>
            <w:tcBorders>
              <w:top w:val="nil"/>
              <w:left w:val="nil"/>
              <w:bottom w:val="single" w:sz="4" w:space="0" w:color="auto"/>
              <w:right w:val="single" w:sz="4" w:space="0" w:color="auto"/>
            </w:tcBorders>
            <w:shd w:val="clear" w:color="auto" w:fill="auto"/>
            <w:vAlign w:val="bottom"/>
            <w:hideMark/>
          </w:tcPr>
          <w:p w14:paraId="0ED15D07"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2023-07-10</w:t>
            </w:r>
          </w:p>
        </w:tc>
      </w:tr>
      <w:tr w:rsidR="009512FC" w:rsidRPr="009512FC" w14:paraId="2E9B9578" w14:textId="77777777" w:rsidTr="00646EEC">
        <w:trPr>
          <w:trHeight w:val="3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13BF1227"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CNCO204G - CSCN contribution - TIF 112 – Draft TIF report for TIF 112</w:t>
            </w:r>
          </w:p>
        </w:tc>
        <w:tc>
          <w:tcPr>
            <w:tcW w:w="1170" w:type="dxa"/>
            <w:tcBorders>
              <w:top w:val="nil"/>
              <w:left w:val="nil"/>
              <w:bottom w:val="single" w:sz="4" w:space="0" w:color="auto"/>
              <w:right w:val="single" w:sz="4" w:space="0" w:color="auto"/>
            </w:tcBorders>
            <w:shd w:val="clear" w:color="auto" w:fill="auto"/>
            <w:vAlign w:val="bottom"/>
            <w:hideMark/>
          </w:tcPr>
          <w:p w14:paraId="24280E14"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CSCN</w:t>
            </w:r>
          </w:p>
        </w:tc>
        <w:tc>
          <w:tcPr>
            <w:tcW w:w="1440" w:type="dxa"/>
            <w:tcBorders>
              <w:top w:val="nil"/>
              <w:left w:val="nil"/>
              <w:bottom w:val="single" w:sz="4" w:space="0" w:color="auto"/>
              <w:right w:val="single" w:sz="4" w:space="0" w:color="auto"/>
            </w:tcBorders>
            <w:shd w:val="clear" w:color="auto" w:fill="auto"/>
            <w:vAlign w:val="bottom"/>
            <w:hideMark/>
          </w:tcPr>
          <w:p w14:paraId="2FB0D9AD"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2023-07-19</w:t>
            </w:r>
          </w:p>
        </w:tc>
      </w:tr>
      <w:tr w:rsidR="009512FC" w:rsidRPr="009512FC" w14:paraId="70DC65C2" w14:textId="77777777" w:rsidTr="00646EEC">
        <w:trPr>
          <w:trHeight w:val="600"/>
          <w:jc w:val="center"/>
        </w:trPr>
        <w:tc>
          <w:tcPr>
            <w:tcW w:w="6295" w:type="dxa"/>
            <w:tcBorders>
              <w:top w:val="nil"/>
              <w:left w:val="single" w:sz="4" w:space="0" w:color="auto"/>
              <w:bottom w:val="single" w:sz="4" w:space="0" w:color="auto"/>
              <w:right w:val="single" w:sz="4" w:space="0" w:color="auto"/>
            </w:tcBorders>
            <w:shd w:val="clear" w:color="auto" w:fill="auto"/>
            <w:vAlign w:val="bottom"/>
            <w:hideMark/>
          </w:tcPr>
          <w:p w14:paraId="21C1EB58"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CNCO220A - CNA contribution - TIF 112 – Non-Geographic NRUF comparisons up to July 2023</w:t>
            </w:r>
          </w:p>
        </w:tc>
        <w:tc>
          <w:tcPr>
            <w:tcW w:w="1170" w:type="dxa"/>
            <w:tcBorders>
              <w:top w:val="nil"/>
              <w:left w:val="nil"/>
              <w:bottom w:val="single" w:sz="4" w:space="0" w:color="auto"/>
              <w:right w:val="single" w:sz="4" w:space="0" w:color="auto"/>
            </w:tcBorders>
            <w:shd w:val="clear" w:color="auto" w:fill="auto"/>
            <w:vAlign w:val="bottom"/>
            <w:hideMark/>
          </w:tcPr>
          <w:p w14:paraId="276E6523"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CNA</w:t>
            </w:r>
          </w:p>
        </w:tc>
        <w:tc>
          <w:tcPr>
            <w:tcW w:w="1440" w:type="dxa"/>
            <w:tcBorders>
              <w:top w:val="nil"/>
              <w:left w:val="nil"/>
              <w:bottom w:val="single" w:sz="4" w:space="0" w:color="auto"/>
              <w:right w:val="single" w:sz="4" w:space="0" w:color="auto"/>
            </w:tcBorders>
            <w:shd w:val="clear" w:color="auto" w:fill="auto"/>
            <w:vAlign w:val="bottom"/>
            <w:hideMark/>
          </w:tcPr>
          <w:p w14:paraId="512AC535" w14:textId="77777777" w:rsidR="009512FC" w:rsidRPr="00F00180" w:rsidRDefault="009512FC" w:rsidP="001351F2">
            <w:pPr>
              <w:spacing w:after="0" w:line="240" w:lineRule="auto"/>
              <w:rPr>
                <w:rFonts w:ascii="Aptos Narrow" w:hAnsi="Aptos Narrow"/>
                <w:color w:val="000000"/>
                <w:sz w:val="20"/>
              </w:rPr>
            </w:pPr>
            <w:r w:rsidRPr="00F00180">
              <w:rPr>
                <w:rFonts w:ascii="Aptos Narrow" w:hAnsi="Aptos Narrow"/>
                <w:color w:val="000000"/>
                <w:sz w:val="20"/>
              </w:rPr>
              <w:t>2023-08-18</w:t>
            </w:r>
          </w:p>
        </w:tc>
      </w:tr>
    </w:tbl>
    <w:p w14:paraId="5238A5B5" w14:textId="77777777" w:rsidR="007F0E64" w:rsidRPr="00B41924" w:rsidRDefault="007F0E64" w:rsidP="001351F2">
      <w:pPr>
        <w:rPr>
          <w:rFonts w:ascii="Arial" w:hAnsi="Arial" w:cs="Arial"/>
        </w:rPr>
      </w:pPr>
      <w:r w:rsidRPr="00B41924">
        <w:rPr>
          <w:rFonts w:ascii="Arial" w:hAnsi="Arial" w:cs="Arial"/>
          <w:highlight w:val="green"/>
          <w:u w:val="single"/>
        </w:rPr>
        <w:t xml:space="preserve">  </w:t>
      </w:r>
    </w:p>
    <w:p w14:paraId="6239EFB0" w14:textId="77777777" w:rsidR="00B91EBA" w:rsidRPr="00B41924" w:rsidRDefault="00A84F73" w:rsidP="001351F2">
      <w:pPr>
        <w:pStyle w:val="Heading1"/>
        <w:rPr>
          <w:rFonts w:ascii="Arial" w:hAnsi="Arial" w:cs="Arial"/>
        </w:rPr>
      </w:pPr>
      <w:bookmarkStart w:id="93" w:name="_Toc156387058"/>
      <w:bookmarkStart w:id="94" w:name="_Toc162946414"/>
      <w:r w:rsidRPr="00B41924">
        <w:rPr>
          <w:rFonts w:ascii="Arial" w:hAnsi="Arial" w:cs="Arial"/>
        </w:rPr>
        <w:lastRenderedPageBreak/>
        <w:t>CSCN TIF 11</w:t>
      </w:r>
      <w:r w:rsidR="00B52FD8" w:rsidRPr="00B41924">
        <w:rPr>
          <w:rFonts w:ascii="Arial" w:hAnsi="Arial" w:cs="Arial"/>
        </w:rPr>
        <w:t>2</w:t>
      </w:r>
      <w:r w:rsidRPr="00B41924">
        <w:rPr>
          <w:rFonts w:ascii="Arial" w:hAnsi="Arial" w:cs="Arial"/>
        </w:rPr>
        <w:t xml:space="preserve"> Participants</w:t>
      </w:r>
      <w:bookmarkEnd w:id="93"/>
      <w:bookmarkEnd w:id="94"/>
    </w:p>
    <w:p w14:paraId="63AD1218" w14:textId="77777777" w:rsidR="00C55A1F" w:rsidRDefault="000D55F9" w:rsidP="001351F2">
      <w:pPr>
        <w:rPr>
          <w:rFonts w:ascii="Arial" w:hAnsi="Arial" w:cs="Arial"/>
        </w:rPr>
      </w:pPr>
      <w:r>
        <w:rPr>
          <w:rFonts w:ascii="Arial" w:hAnsi="Arial" w:cs="Arial"/>
        </w:rPr>
        <w:br/>
      </w:r>
      <w:r w:rsidR="00C55A1F">
        <w:rPr>
          <w:rFonts w:ascii="Arial" w:hAnsi="Arial" w:cs="Arial"/>
        </w:rPr>
        <w:t xml:space="preserve">The CSCN recognizes the </w:t>
      </w:r>
      <w:r w:rsidR="00B43A57">
        <w:rPr>
          <w:rFonts w:ascii="Arial" w:hAnsi="Arial" w:cs="Arial"/>
        </w:rPr>
        <w:t xml:space="preserve">participation and </w:t>
      </w:r>
      <w:r w:rsidR="00C55A1F">
        <w:rPr>
          <w:rFonts w:ascii="Arial" w:hAnsi="Arial" w:cs="Arial"/>
        </w:rPr>
        <w:t>contributions from the following participants:</w:t>
      </w:r>
      <w:r w:rsidR="004A54B6">
        <w:rPr>
          <w:rFonts w:ascii="Arial" w:hAnsi="Arial" w:cs="Arial"/>
        </w:rPr>
        <w:br/>
      </w:r>
    </w:p>
    <w:p w14:paraId="019C16C9" w14:textId="710FDB1B" w:rsidR="00D1680C" w:rsidRPr="00F00180" w:rsidRDefault="00D1680C" w:rsidP="001351F2">
      <w:pPr>
        <w:pStyle w:val="Caption"/>
        <w:keepNext/>
        <w:rPr>
          <w:sz w:val="24"/>
        </w:rPr>
      </w:pPr>
      <w:bookmarkStart w:id="95" w:name="_Toc156385638"/>
      <w:bookmarkStart w:id="96" w:name="_Toc162946424"/>
      <w:r w:rsidRPr="00F00180">
        <w:rPr>
          <w:b/>
          <w:sz w:val="24"/>
        </w:rPr>
        <w:t xml:space="preserve">Figure </w:t>
      </w:r>
      <w:r w:rsidR="00262139" w:rsidRPr="00F00180">
        <w:rPr>
          <w:b/>
          <w:sz w:val="24"/>
        </w:rPr>
        <w:fldChar w:fldCharType="begin"/>
      </w:r>
      <w:r w:rsidR="00262139" w:rsidRPr="00F00180">
        <w:rPr>
          <w:b/>
          <w:sz w:val="24"/>
        </w:rPr>
        <w:instrText xml:space="preserve"> SEQ Figure \* ARABIC </w:instrText>
      </w:r>
      <w:r w:rsidR="00262139" w:rsidRPr="00F00180">
        <w:rPr>
          <w:b/>
          <w:sz w:val="24"/>
        </w:rPr>
        <w:fldChar w:fldCharType="separate"/>
      </w:r>
      <w:r w:rsidR="00924761" w:rsidRPr="00F00180">
        <w:rPr>
          <w:b/>
          <w:sz w:val="24"/>
        </w:rPr>
        <w:t>9</w:t>
      </w:r>
      <w:r w:rsidR="00262139" w:rsidRPr="00F00180">
        <w:rPr>
          <w:b/>
          <w:sz w:val="24"/>
        </w:rPr>
        <w:fldChar w:fldCharType="end"/>
      </w:r>
      <w:r w:rsidRPr="00F00180">
        <w:rPr>
          <w:sz w:val="24"/>
        </w:rPr>
        <w:t>: CSCN TIF 112 Participants</w:t>
      </w:r>
      <w:bookmarkEnd w:id="95"/>
      <w:bookmarkEnd w:id="96"/>
    </w:p>
    <w:tbl>
      <w:tblPr>
        <w:tblStyle w:val="TableGrid"/>
        <w:tblW w:w="0" w:type="auto"/>
        <w:tblLook w:val="04A0" w:firstRow="1" w:lastRow="0" w:firstColumn="1" w:lastColumn="0" w:noHBand="0" w:noVBand="1"/>
      </w:tblPr>
      <w:tblGrid>
        <w:gridCol w:w="2830"/>
        <w:gridCol w:w="6520"/>
      </w:tblGrid>
      <w:tr w:rsidR="005E56A1" w14:paraId="1BBB94D4" w14:textId="77777777" w:rsidTr="00E12D1C">
        <w:tc>
          <w:tcPr>
            <w:tcW w:w="2830" w:type="dxa"/>
          </w:tcPr>
          <w:p w14:paraId="5C22DE5B" w14:textId="77777777" w:rsidR="005E56A1" w:rsidRPr="00855F62" w:rsidRDefault="005E56A1" w:rsidP="001351F2">
            <w:pPr>
              <w:rPr>
                <w:rFonts w:ascii="Arial" w:hAnsi="Arial" w:cs="Arial"/>
                <w:u w:val="single"/>
              </w:rPr>
            </w:pPr>
            <w:r w:rsidRPr="00855F62">
              <w:rPr>
                <w:rFonts w:ascii="Arial" w:hAnsi="Arial" w:cs="Arial"/>
                <w:u w:val="single"/>
              </w:rPr>
              <w:t>Organization</w:t>
            </w:r>
          </w:p>
        </w:tc>
        <w:tc>
          <w:tcPr>
            <w:tcW w:w="6520" w:type="dxa"/>
          </w:tcPr>
          <w:p w14:paraId="40B931E2" w14:textId="77777777" w:rsidR="005E56A1" w:rsidRPr="00855F62" w:rsidRDefault="005E56A1" w:rsidP="001351F2">
            <w:pPr>
              <w:rPr>
                <w:rFonts w:ascii="Arial" w:hAnsi="Arial" w:cs="Arial"/>
                <w:u w:val="single"/>
              </w:rPr>
            </w:pPr>
            <w:r w:rsidRPr="00855F62">
              <w:rPr>
                <w:rFonts w:ascii="Arial" w:hAnsi="Arial" w:cs="Arial"/>
                <w:u w:val="single"/>
              </w:rPr>
              <w:t>Name</w:t>
            </w:r>
            <w:r w:rsidR="003D225C">
              <w:rPr>
                <w:rFonts w:ascii="Arial" w:hAnsi="Arial" w:cs="Arial"/>
                <w:u w:val="single"/>
              </w:rPr>
              <w:t xml:space="preserve"> &amp; Specific Roles</w:t>
            </w:r>
            <w:r w:rsidR="00855F62" w:rsidRPr="00855F62">
              <w:rPr>
                <w:rFonts w:ascii="Arial" w:hAnsi="Arial" w:cs="Arial"/>
                <w:u w:val="single"/>
              </w:rPr>
              <w:br/>
            </w:r>
          </w:p>
        </w:tc>
      </w:tr>
      <w:tr w:rsidR="005E56A1" w:rsidRPr="00D208DD" w14:paraId="41146C5C" w14:textId="77777777" w:rsidTr="00E12D1C">
        <w:tc>
          <w:tcPr>
            <w:tcW w:w="2830" w:type="dxa"/>
          </w:tcPr>
          <w:p w14:paraId="064947CF" w14:textId="77777777" w:rsidR="005E56A1" w:rsidRPr="00835D0B" w:rsidRDefault="00DE773D" w:rsidP="001351F2">
            <w:pPr>
              <w:rPr>
                <w:rFonts w:ascii="Arial" w:hAnsi="Arial" w:cs="Arial"/>
              </w:rPr>
            </w:pPr>
            <w:r w:rsidRPr="00835D0B">
              <w:rPr>
                <w:rFonts w:ascii="Arial" w:hAnsi="Arial" w:cs="Arial"/>
              </w:rPr>
              <w:t>Bell Canada</w:t>
            </w:r>
          </w:p>
        </w:tc>
        <w:tc>
          <w:tcPr>
            <w:tcW w:w="6520" w:type="dxa"/>
          </w:tcPr>
          <w:p w14:paraId="44548BEB" w14:textId="77777777" w:rsidR="00CA196D" w:rsidRPr="00835D0B" w:rsidRDefault="00CA196D" w:rsidP="001351F2">
            <w:pPr>
              <w:rPr>
                <w:rFonts w:ascii="Arial" w:hAnsi="Arial" w:cs="Arial"/>
              </w:rPr>
            </w:pPr>
            <w:r w:rsidRPr="00835D0B">
              <w:rPr>
                <w:rFonts w:ascii="Arial" w:hAnsi="Arial" w:cs="Arial"/>
              </w:rPr>
              <w:t>Joey-Lynn Abdulkader – Writing Committee</w:t>
            </w:r>
          </w:p>
          <w:p w14:paraId="7A88874A" w14:textId="77777777" w:rsidR="00835D0B" w:rsidRPr="007A2CD5" w:rsidRDefault="00C81756" w:rsidP="001351F2">
            <w:pPr>
              <w:rPr>
                <w:rFonts w:ascii="Arial" w:hAnsi="Arial" w:cs="Arial"/>
              </w:rPr>
            </w:pPr>
            <w:r w:rsidRPr="007A2CD5">
              <w:rPr>
                <w:rFonts w:ascii="Arial" w:hAnsi="Arial" w:cs="Arial"/>
              </w:rPr>
              <w:t xml:space="preserve">Marie-Christine Hudon </w:t>
            </w:r>
          </w:p>
          <w:p w14:paraId="0E00959A" w14:textId="77777777" w:rsidR="00C81756" w:rsidRDefault="00E12D1C" w:rsidP="001351F2">
            <w:pPr>
              <w:rPr>
                <w:rFonts w:ascii="Arial" w:hAnsi="Arial"/>
              </w:rPr>
            </w:pPr>
            <w:r w:rsidRPr="00F00180">
              <w:rPr>
                <w:rFonts w:ascii="Arial" w:hAnsi="Arial"/>
              </w:rPr>
              <w:t>Mohammad Tabari</w:t>
            </w:r>
          </w:p>
          <w:p w14:paraId="62BB28AD" w14:textId="06572CF7" w:rsidR="00611FCF" w:rsidRPr="00F00180" w:rsidRDefault="00611FCF" w:rsidP="001351F2">
            <w:pPr>
              <w:rPr>
                <w:rFonts w:ascii="Arial" w:hAnsi="Arial"/>
              </w:rPr>
            </w:pPr>
            <w:r>
              <w:rPr>
                <w:rFonts w:ascii="Arial" w:hAnsi="Arial"/>
              </w:rPr>
              <w:t>Francis Fernandes</w:t>
            </w:r>
          </w:p>
        </w:tc>
      </w:tr>
      <w:tr w:rsidR="005E56A1" w14:paraId="30C18CE5" w14:textId="77777777" w:rsidTr="00E12D1C">
        <w:tc>
          <w:tcPr>
            <w:tcW w:w="2830" w:type="dxa"/>
          </w:tcPr>
          <w:p w14:paraId="478DD465" w14:textId="77777777" w:rsidR="005E56A1" w:rsidRPr="00835D0B" w:rsidRDefault="005E56A1" w:rsidP="001351F2">
            <w:pPr>
              <w:rPr>
                <w:rFonts w:ascii="Arial" w:hAnsi="Arial" w:cs="Arial"/>
              </w:rPr>
            </w:pPr>
            <w:r w:rsidRPr="00835D0B">
              <w:rPr>
                <w:rFonts w:ascii="Arial" w:hAnsi="Arial" w:cs="Arial"/>
              </w:rPr>
              <w:t>CNA</w:t>
            </w:r>
          </w:p>
        </w:tc>
        <w:tc>
          <w:tcPr>
            <w:tcW w:w="6520" w:type="dxa"/>
          </w:tcPr>
          <w:p w14:paraId="271A11C4" w14:textId="77777777" w:rsidR="00855F62" w:rsidRPr="00835D0B" w:rsidRDefault="005E56A1" w:rsidP="001351F2">
            <w:pPr>
              <w:rPr>
                <w:rFonts w:ascii="Arial" w:hAnsi="Arial" w:cs="Arial"/>
              </w:rPr>
            </w:pPr>
            <w:r w:rsidRPr="00835D0B">
              <w:rPr>
                <w:rFonts w:ascii="Arial" w:hAnsi="Arial" w:cs="Arial"/>
              </w:rPr>
              <w:t xml:space="preserve">Kelly </w:t>
            </w:r>
            <w:r w:rsidR="00AA365F" w:rsidRPr="00835D0B">
              <w:rPr>
                <w:rFonts w:ascii="Arial" w:hAnsi="Arial" w:cs="Arial"/>
              </w:rPr>
              <w:t xml:space="preserve">T. </w:t>
            </w:r>
            <w:r w:rsidRPr="00835D0B">
              <w:rPr>
                <w:rFonts w:ascii="Arial" w:hAnsi="Arial" w:cs="Arial"/>
              </w:rPr>
              <w:t>Walsh – CSCN Chair</w:t>
            </w:r>
            <w:r w:rsidR="00835D0B" w:rsidRPr="00835D0B">
              <w:rPr>
                <w:rFonts w:ascii="Arial" w:hAnsi="Arial" w:cs="Arial"/>
              </w:rPr>
              <w:t xml:space="preserve"> </w:t>
            </w:r>
            <w:r w:rsidR="00E5077A">
              <w:rPr>
                <w:rFonts w:ascii="Arial" w:hAnsi="Arial" w:cs="Arial"/>
              </w:rPr>
              <w:t>– CNCO203</w:t>
            </w:r>
            <w:r w:rsidR="0010518B">
              <w:rPr>
                <w:rFonts w:ascii="Arial" w:hAnsi="Arial" w:cs="Arial"/>
              </w:rPr>
              <w:t>A/</w:t>
            </w:r>
            <w:r w:rsidR="00E5077A">
              <w:rPr>
                <w:rFonts w:ascii="Arial" w:hAnsi="Arial" w:cs="Arial"/>
              </w:rPr>
              <w:t>B, CNCO206A</w:t>
            </w:r>
            <w:r w:rsidRPr="00835D0B">
              <w:rPr>
                <w:rFonts w:ascii="Arial" w:hAnsi="Arial" w:cs="Arial"/>
              </w:rPr>
              <w:br/>
              <w:t xml:space="preserve">David Comrie – </w:t>
            </w:r>
            <w:r w:rsidR="00B75DD8">
              <w:rPr>
                <w:rFonts w:ascii="Arial" w:hAnsi="Arial" w:cs="Arial"/>
              </w:rPr>
              <w:t xml:space="preserve">Writing Committee, </w:t>
            </w:r>
            <w:r w:rsidRPr="00835D0B">
              <w:rPr>
                <w:rFonts w:ascii="Arial" w:hAnsi="Arial" w:cs="Arial"/>
              </w:rPr>
              <w:t>CSCN Secretary</w:t>
            </w:r>
            <w:r w:rsidR="00E5077A">
              <w:rPr>
                <w:rFonts w:ascii="Arial" w:hAnsi="Arial" w:cs="Arial"/>
              </w:rPr>
              <w:t xml:space="preserve"> – CNCO197A, CNCO202B, CNCO205A</w:t>
            </w:r>
            <w:r w:rsidR="00E417AA">
              <w:rPr>
                <w:rFonts w:ascii="Arial" w:hAnsi="Arial" w:cs="Arial"/>
              </w:rPr>
              <w:t>, CNCO208A</w:t>
            </w:r>
          </w:p>
          <w:p w14:paraId="2E285556" w14:textId="77777777" w:rsidR="005E56A1" w:rsidRDefault="00855F62" w:rsidP="001351F2">
            <w:pPr>
              <w:rPr>
                <w:rFonts w:ascii="Arial" w:hAnsi="Arial" w:cs="Arial"/>
              </w:rPr>
            </w:pPr>
            <w:r w:rsidRPr="00835D0B">
              <w:rPr>
                <w:rFonts w:ascii="Arial" w:hAnsi="Arial" w:cs="Arial"/>
              </w:rPr>
              <w:t>Fiona Clegg</w:t>
            </w:r>
            <w:r w:rsidR="003D225C" w:rsidRPr="00835D0B">
              <w:rPr>
                <w:rFonts w:ascii="Arial" w:hAnsi="Arial" w:cs="Arial"/>
              </w:rPr>
              <w:t xml:space="preserve"> – Writing Committee</w:t>
            </w:r>
            <w:r w:rsidR="00835D0B" w:rsidRPr="00835D0B">
              <w:rPr>
                <w:rFonts w:ascii="Arial" w:hAnsi="Arial" w:cs="Arial"/>
              </w:rPr>
              <w:t xml:space="preserve"> </w:t>
            </w:r>
            <w:r w:rsidR="005E56A1" w:rsidRPr="00835D0B">
              <w:rPr>
                <w:rFonts w:ascii="Arial" w:hAnsi="Arial" w:cs="Arial"/>
              </w:rPr>
              <w:br/>
            </w:r>
            <w:r w:rsidRPr="00835D0B">
              <w:rPr>
                <w:rFonts w:ascii="Arial" w:hAnsi="Arial" w:cs="Arial"/>
              </w:rPr>
              <w:t>Suresh K</w:t>
            </w:r>
            <w:r w:rsidR="003D225C" w:rsidRPr="00835D0B">
              <w:rPr>
                <w:rFonts w:ascii="Arial" w:hAnsi="Arial" w:cs="Arial"/>
              </w:rPr>
              <w:t>hare</w:t>
            </w:r>
            <w:r w:rsidR="00E426EE" w:rsidRPr="00835D0B">
              <w:rPr>
                <w:rFonts w:ascii="Arial" w:hAnsi="Arial" w:cs="Arial"/>
              </w:rPr>
              <w:t xml:space="preserve"> </w:t>
            </w:r>
            <w:r w:rsidR="00835D0B">
              <w:rPr>
                <w:rFonts w:ascii="Arial" w:hAnsi="Arial" w:cs="Arial"/>
              </w:rPr>
              <w:t xml:space="preserve">– </w:t>
            </w:r>
            <w:r w:rsidR="00696EC7">
              <w:rPr>
                <w:rFonts w:ascii="Arial" w:hAnsi="Arial" w:cs="Arial"/>
              </w:rPr>
              <w:t xml:space="preserve">Writing Committee, </w:t>
            </w:r>
            <w:r w:rsidR="00835D0B">
              <w:rPr>
                <w:rFonts w:ascii="Arial" w:hAnsi="Arial" w:cs="Arial"/>
              </w:rPr>
              <w:t>NRUF Forecasting</w:t>
            </w:r>
            <w:r w:rsidR="00E5077A">
              <w:rPr>
                <w:rFonts w:ascii="Arial" w:hAnsi="Arial" w:cs="Arial"/>
              </w:rPr>
              <w:t xml:space="preserve"> – CNCO198A/C/D</w:t>
            </w:r>
          </w:p>
          <w:p w14:paraId="5C5E8282" w14:textId="77777777" w:rsidR="00E12D1C" w:rsidRPr="00835D0B" w:rsidRDefault="00E12D1C" w:rsidP="001351F2">
            <w:pPr>
              <w:rPr>
                <w:rFonts w:ascii="Arial" w:hAnsi="Arial" w:cs="Arial"/>
              </w:rPr>
            </w:pPr>
            <w:r>
              <w:rPr>
                <w:rFonts w:ascii="Arial" w:hAnsi="Arial" w:cs="Arial"/>
              </w:rPr>
              <w:t xml:space="preserve">John Jennings </w:t>
            </w:r>
          </w:p>
        </w:tc>
      </w:tr>
      <w:tr w:rsidR="008022FC" w14:paraId="11518CE1" w14:textId="77777777" w:rsidTr="00E12D1C">
        <w:tc>
          <w:tcPr>
            <w:tcW w:w="2830" w:type="dxa"/>
          </w:tcPr>
          <w:p w14:paraId="0C46F49A" w14:textId="77777777" w:rsidR="008022FC" w:rsidRPr="00835D0B" w:rsidRDefault="008022FC" w:rsidP="001351F2">
            <w:pPr>
              <w:rPr>
                <w:rFonts w:ascii="Arial" w:hAnsi="Arial" w:cs="Arial"/>
              </w:rPr>
            </w:pPr>
            <w:r w:rsidRPr="00835D0B">
              <w:rPr>
                <w:rFonts w:ascii="Arial" w:hAnsi="Arial" w:cs="Arial"/>
              </w:rPr>
              <w:t>CNAC</w:t>
            </w:r>
          </w:p>
        </w:tc>
        <w:tc>
          <w:tcPr>
            <w:tcW w:w="6520" w:type="dxa"/>
          </w:tcPr>
          <w:p w14:paraId="19226F65" w14:textId="77777777" w:rsidR="008022FC" w:rsidRPr="00835D0B" w:rsidRDefault="008022FC" w:rsidP="001351F2">
            <w:pPr>
              <w:rPr>
                <w:rFonts w:ascii="Arial" w:hAnsi="Arial" w:cs="Arial"/>
              </w:rPr>
            </w:pPr>
            <w:r w:rsidRPr="00835D0B">
              <w:rPr>
                <w:rFonts w:ascii="Arial" w:hAnsi="Arial" w:cs="Arial"/>
              </w:rPr>
              <w:t>Glenn</w:t>
            </w:r>
            <w:r w:rsidR="005C4F5D" w:rsidRPr="00835D0B">
              <w:rPr>
                <w:rFonts w:ascii="Arial" w:hAnsi="Arial" w:cs="Arial"/>
              </w:rPr>
              <w:t xml:space="preserve"> Pilley</w:t>
            </w:r>
          </w:p>
          <w:p w14:paraId="5918390D" w14:textId="77777777" w:rsidR="005C4F5D" w:rsidRPr="00835D0B" w:rsidRDefault="005C4F5D" w:rsidP="001351F2">
            <w:pPr>
              <w:rPr>
                <w:rFonts w:ascii="Arial" w:hAnsi="Arial" w:cs="Arial"/>
              </w:rPr>
            </w:pPr>
            <w:r w:rsidRPr="00835D0B">
              <w:rPr>
                <w:rFonts w:ascii="Arial" w:hAnsi="Arial" w:cs="Arial"/>
              </w:rPr>
              <w:t>Bill Barsley</w:t>
            </w:r>
          </w:p>
        </w:tc>
      </w:tr>
      <w:tr w:rsidR="005E56A1" w14:paraId="55B09208" w14:textId="77777777" w:rsidTr="00E12D1C">
        <w:tc>
          <w:tcPr>
            <w:tcW w:w="2830" w:type="dxa"/>
          </w:tcPr>
          <w:p w14:paraId="00964F76" w14:textId="77777777" w:rsidR="005E56A1" w:rsidRPr="00E12D1C" w:rsidRDefault="003072FF" w:rsidP="001351F2">
            <w:pPr>
              <w:rPr>
                <w:rFonts w:ascii="Arial" w:hAnsi="Arial" w:cs="Arial"/>
              </w:rPr>
            </w:pPr>
            <w:proofErr w:type="spellStart"/>
            <w:r w:rsidRPr="00E12D1C">
              <w:rPr>
                <w:rFonts w:ascii="Arial" w:hAnsi="Arial" w:cs="Arial"/>
              </w:rPr>
              <w:t>COMSolve</w:t>
            </w:r>
            <w:proofErr w:type="spellEnd"/>
          </w:p>
        </w:tc>
        <w:tc>
          <w:tcPr>
            <w:tcW w:w="6520" w:type="dxa"/>
          </w:tcPr>
          <w:p w14:paraId="21730C6E" w14:textId="77777777" w:rsidR="005E56A1" w:rsidRPr="00E12D1C" w:rsidRDefault="003072FF" w:rsidP="001351F2">
            <w:pPr>
              <w:rPr>
                <w:rFonts w:ascii="Arial" w:hAnsi="Arial" w:cs="Arial"/>
              </w:rPr>
            </w:pPr>
            <w:r w:rsidRPr="00E12D1C">
              <w:rPr>
                <w:rFonts w:ascii="Arial" w:hAnsi="Arial" w:cs="Arial"/>
              </w:rPr>
              <w:t>Ed</w:t>
            </w:r>
            <w:r w:rsidR="002D7F93" w:rsidRPr="00E12D1C">
              <w:rPr>
                <w:rFonts w:ascii="Arial" w:hAnsi="Arial" w:cs="Arial"/>
              </w:rPr>
              <w:t>ward</w:t>
            </w:r>
            <w:r w:rsidRPr="00E12D1C">
              <w:rPr>
                <w:rFonts w:ascii="Arial" w:hAnsi="Arial" w:cs="Arial"/>
              </w:rPr>
              <w:t xml:space="preserve"> Antecol</w:t>
            </w:r>
            <w:r w:rsidR="0038100C" w:rsidRPr="00E12D1C">
              <w:rPr>
                <w:rFonts w:ascii="Arial" w:hAnsi="Arial" w:cs="Arial"/>
              </w:rPr>
              <w:t xml:space="preserve"> </w:t>
            </w:r>
            <w:r w:rsidR="00B75DD8" w:rsidRPr="00835D0B">
              <w:rPr>
                <w:rFonts w:ascii="Arial" w:hAnsi="Arial" w:cs="Arial"/>
              </w:rPr>
              <w:t>– Writing Committee</w:t>
            </w:r>
          </w:p>
        </w:tc>
      </w:tr>
      <w:tr w:rsidR="005E56A1" w:rsidRPr="002B78D9" w14:paraId="29454680" w14:textId="77777777" w:rsidTr="00E12D1C">
        <w:tc>
          <w:tcPr>
            <w:tcW w:w="2830" w:type="dxa"/>
          </w:tcPr>
          <w:p w14:paraId="71DF197A" w14:textId="77777777" w:rsidR="005E56A1" w:rsidRPr="00E12D1C" w:rsidRDefault="00275C43" w:rsidP="001351F2">
            <w:pPr>
              <w:rPr>
                <w:rFonts w:ascii="Arial" w:hAnsi="Arial" w:cs="Arial"/>
              </w:rPr>
            </w:pPr>
            <w:r w:rsidRPr="00E12D1C">
              <w:rPr>
                <w:rFonts w:ascii="Arial" w:hAnsi="Arial" w:cs="Arial"/>
              </w:rPr>
              <w:t>CRTC</w:t>
            </w:r>
          </w:p>
        </w:tc>
        <w:tc>
          <w:tcPr>
            <w:tcW w:w="6520" w:type="dxa"/>
          </w:tcPr>
          <w:p w14:paraId="16E15A4E" w14:textId="77777777" w:rsidR="00F51F01" w:rsidRPr="00924761" w:rsidRDefault="00E12D1C" w:rsidP="001351F2">
            <w:pPr>
              <w:rPr>
                <w:rFonts w:ascii="Arial" w:hAnsi="Arial"/>
                <w:lang w:val="fr-FR"/>
              </w:rPr>
            </w:pPr>
            <w:r w:rsidRPr="00924761">
              <w:rPr>
                <w:rFonts w:ascii="Arial" w:hAnsi="Arial"/>
                <w:lang w:val="fr-FR"/>
              </w:rPr>
              <w:t>Alexander Pittman</w:t>
            </w:r>
          </w:p>
          <w:p w14:paraId="5E5214E9" w14:textId="77777777" w:rsidR="00E12D1C" w:rsidRPr="00924761" w:rsidRDefault="00E12D1C" w:rsidP="001351F2">
            <w:pPr>
              <w:rPr>
                <w:rFonts w:ascii="Arial" w:hAnsi="Arial"/>
                <w:lang w:val="fr-FR"/>
              </w:rPr>
            </w:pPr>
            <w:r w:rsidRPr="00924761">
              <w:rPr>
                <w:rFonts w:ascii="Arial" w:hAnsi="Arial"/>
                <w:lang w:val="fr-FR"/>
              </w:rPr>
              <w:t>Michel Murray</w:t>
            </w:r>
          </w:p>
          <w:p w14:paraId="0DF91FCA" w14:textId="77777777" w:rsidR="00E12D1C" w:rsidRPr="00924761" w:rsidRDefault="00E12D1C" w:rsidP="001351F2">
            <w:pPr>
              <w:rPr>
                <w:rFonts w:ascii="Arial" w:hAnsi="Arial"/>
                <w:color w:val="000000"/>
                <w:lang w:val="fr-FR"/>
              </w:rPr>
            </w:pPr>
            <w:r w:rsidRPr="00924761">
              <w:rPr>
                <w:rFonts w:ascii="Arial" w:hAnsi="Arial"/>
                <w:color w:val="000000"/>
                <w:lang w:val="fr-FR"/>
              </w:rPr>
              <w:t>Étienne Robelin</w:t>
            </w:r>
          </w:p>
        </w:tc>
      </w:tr>
      <w:tr w:rsidR="00E12D1C" w14:paraId="35F3C3B1" w14:textId="77777777" w:rsidTr="00E12D1C">
        <w:tc>
          <w:tcPr>
            <w:tcW w:w="2830" w:type="dxa"/>
          </w:tcPr>
          <w:p w14:paraId="61AE663A" w14:textId="77777777" w:rsidR="00E12D1C" w:rsidRPr="00E12D1C" w:rsidRDefault="00E12D1C" w:rsidP="001351F2">
            <w:pPr>
              <w:rPr>
                <w:rFonts w:ascii="Arial" w:hAnsi="Arial" w:cs="Arial"/>
              </w:rPr>
            </w:pPr>
            <w:r w:rsidRPr="00E12D1C">
              <w:rPr>
                <w:rFonts w:ascii="Arial" w:hAnsi="Arial" w:cs="Arial"/>
              </w:rPr>
              <w:t>Eastlink</w:t>
            </w:r>
          </w:p>
        </w:tc>
        <w:tc>
          <w:tcPr>
            <w:tcW w:w="6520" w:type="dxa"/>
          </w:tcPr>
          <w:p w14:paraId="7A94B514" w14:textId="77777777" w:rsidR="00E12D1C" w:rsidRPr="00E12D1C" w:rsidRDefault="00E12D1C" w:rsidP="001351F2">
            <w:pPr>
              <w:rPr>
                <w:rFonts w:ascii="Arial" w:hAnsi="Arial" w:cs="Arial"/>
              </w:rPr>
            </w:pPr>
            <w:r w:rsidRPr="00E12D1C">
              <w:rPr>
                <w:rFonts w:ascii="Arial" w:hAnsi="Arial" w:cs="Arial"/>
              </w:rPr>
              <w:t>Lindsay Thorne</w:t>
            </w:r>
          </w:p>
        </w:tc>
      </w:tr>
      <w:tr w:rsidR="00E12D1C" w14:paraId="7F940A71" w14:textId="77777777" w:rsidTr="00E12D1C">
        <w:tc>
          <w:tcPr>
            <w:tcW w:w="2830" w:type="dxa"/>
          </w:tcPr>
          <w:p w14:paraId="63A727DA" w14:textId="77777777" w:rsidR="00E12D1C" w:rsidRPr="00E12D1C" w:rsidRDefault="00E12D1C" w:rsidP="001351F2">
            <w:pPr>
              <w:rPr>
                <w:rFonts w:ascii="Arial" w:hAnsi="Arial" w:cs="Arial"/>
              </w:rPr>
            </w:pPr>
            <w:r w:rsidRPr="00E12D1C">
              <w:rPr>
                <w:rFonts w:ascii="Arial" w:hAnsi="Arial" w:cs="Arial"/>
              </w:rPr>
              <w:t>Freedom Mobile</w:t>
            </w:r>
          </w:p>
        </w:tc>
        <w:tc>
          <w:tcPr>
            <w:tcW w:w="6520" w:type="dxa"/>
          </w:tcPr>
          <w:p w14:paraId="1EB0CC23" w14:textId="77777777" w:rsidR="00E12D1C" w:rsidRPr="00E12D1C" w:rsidRDefault="00E12D1C" w:rsidP="001351F2">
            <w:pPr>
              <w:rPr>
                <w:rFonts w:ascii="Arial" w:hAnsi="Arial" w:cs="Arial"/>
              </w:rPr>
            </w:pPr>
            <w:r w:rsidRPr="00E12D1C">
              <w:rPr>
                <w:rFonts w:ascii="Arial" w:hAnsi="Arial" w:cs="Arial"/>
              </w:rPr>
              <w:t>Dilraj Suri</w:t>
            </w:r>
          </w:p>
        </w:tc>
      </w:tr>
      <w:tr w:rsidR="00E12D1C" w14:paraId="58A3207E" w14:textId="77777777" w:rsidTr="00E12D1C">
        <w:tc>
          <w:tcPr>
            <w:tcW w:w="2830" w:type="dxa"/>
          </w:tcPr>
          <w:p w14:paraId="6D6185F0" w14:textId="77777777" w:rsidR="00E12D1C" w:rsidRPr="00E12D1C" w:rsidRDefault="00E12D1C" w:rsidP="001351F2">
            <w:pPr>
              <w:rPr>
                <w:rFonts w:ascii="Arial" w:hAnsi="Arial" w:cs="Arial"/>
              </w:rPr>
            </w:pPr>
            <w:r w:rsidRPr="00E12D1C">
              <w:rPr>
                <w:rFonts w:ascii="Arial" w:hAnsi="Arial" w:cs="Arial"/>
              </w:rPr>
              <w:t>Quadro Communications</w:t>
            </w:r>
          </w:p>
        </w:tc>
        <w:tc>
          <w:tcPr>
            <w:tcW w:w="6520" w:type="dxa"/>
          </w:tcPr>
          <w:p w14:paraId="515C2FD0" w14:textId="77777777" w:rsidR="00E12D1C" w:rsidRPr="00E12D1C" w:rsidRDefault="00E12D1C" w:rsidP="001351F2">
            <w:pPr>
              <w:rPr>
                <w:rFonts w:ascii="Arial" w:hAnsi="Arial" w:cs="Arial"/>
              </w:rPr>
            </w:pPr>
            <w:r w:rsidRPr="00E12D1C">
              <w:rPr>
                <w:rFonts w:ascii="Arial" w:hAnsi="Arial" w:cs="Arial"/>
              </w:rPr>
              <w:t xml:space="preserve">Darryl Evans </w:t>
            </w:r>
            <w:r w:rsidR="004D2401" w:rsidRPr="00835D0B">
              <w:rPr>
                <w:rFonts w:ascii="Arial" w:hAnsi="Arial" w:cs="Arial"/>
              </w:rPr>
              <w:t>– Writing Committee</w:t>
            </w:r>
          </w:p>
        </w:tc>
      </w:tr>
      <w:tr w:rsidR="00E12D1C" w14:paraId="51840383" w14:textId="77777777" w:rsidTr="00E12D1C">
        <w:tc>
          <w:tcPr>
            <w:tcW w:w="2830" w:type="dxa"/>
          </w:tcPr>
          <w:p w14:paraId="05226B20" w14:textId="77777777" w:rsidR="00E12D1C" w:rsidRPr="00E12D1C" w:rsidRDefault="00E12D1C" w:rsidP="001351F2">
            <w:pPr>
              <w:rPr>
                <w:rFonts w:ascii="Arial" w:hAnsi="Arial" w:cs="Arial"/>
              </w:rPr>
            </w:pPr>
            <w:r>
              <w:rPr>
                <w:rFonts w:ascii="Arial" w:hAnsi="Arial" w:cs="Arial"/>
              </w:rPr>
              <w:t>Railway Association of Canada</w:t>
            </w:r>
          </w:p>
        </w:tc>
        <w:tc>
          <w:tcPr>
            <w:tcW w:w="6520" w:type="dxa"/>
          </w:tcPr>
          <w:p w14:paraId="14746CF1" w14:textId="77777777" w:rsidR="00E12D1C" w:rsidRPr="00E12D1C" w:rsidRDefault="00E12D1C" w:rsidP="001351F2">
            <w:pPr>
              <w:rPr>
                <w:rFonts w:ascii="Arial" w:hAnsi="Arial" w:cs="Arial"/>
              </w:rPr>
            </w:pPr>
            <w:r>
              <w:rPr>
                <w:rFonts w:ascii="Arial" w:hAnsi="Arial" w:cs="Arial"/>
              </w:rPr>
              <w:t xml:space="preserve">Enzo De </w:t>
            </w:r>
            <w:proofErr w:type="spellStart"/>
            <w:r>
              <w:rPr>
                <w:rFonts w:ascii="Arial" w:hAnsi="Arial" w:cs="Arial"/>
              </w:rPr>
              <w:t>Benitti</w:t>
            </w:r>
            <w:proofErr w:type="spellEnd"/>
          </w:p>
        </w:tc>
      </w:tr>
      <w:tr w:rsidR="005E56A1" w14:paraId="05D82AFD" w14:textId="77777777" w:rsidTr="00E12D1C">
        <w:tc>
          <w:tcPr>
            <w:tcW w:w="2830" w:type="dxa"/>
          </w:tcPr>
          <w:p w14:paraId="508787A3" w14:textId="77777777" w:rsidR="005E56A1" w:rsidRPr="00B33BD9" w:rsidRDefault="003D225C" w:rsidP="001351F2">
            <w:pPr>
              <w:rPr>
                <w:rFonts w:ascii="Arial" w:hAnsi="Arial" w:cs="Arial"/>
                <w:highlight w:val="green"/>
              </w:rPr>
            </w:pPr>
            <w:r w:rsidRPr="002E047E">
              <w:rPr>
                <w:rFonts w:ascii="Arial" w:hAnsi="Arial" w:cs="Arial"/>
              </w:rPr>
              <w:t>Rogers</w:t>
            </w:r>
          </w:p>
        </w:tc>
        <w:tc>
          <w:tcPr>
            <w:tcW w:w="6520" w:type="dxa"/>
          </w:tcPr>
          <w:p w14:paraId="7A6B6A41" w14:textId="77777777" w:rsidR="00CC611A" w:rsidRPr="00BA6B54" w:rsidRDefault="00E12D1C" w:rsidP="001351F2">
            <w:pPr>
              <w:rPr>
                <w:rFonts w:ascii="Arial" w:hAnsi="Arial" w:cs="Arial"/>
              </w:rPr>
            </w:pPr>
            <w:r>
              <w:rPr>
                <w:rFonts w:ascii="Arial" w:hAnsi="Arial" w:cs="Arial"/>
              </w:rPr>
              <w:t>Arturo Arreaga</w:t>
            </w:r>
          </w:p>
        </w:tc>
      </w:tr>
      <w:tr w:rsidR="00E12D1C" w14:paraId="23EC1435" w14:textId="77777777" w:rsidTr="00E12D1C">
        <w:tc>
          <w:tcPr>
            <w:tcW w:w="2830" w:type="dxa"/>
          </w:tcPr>
          <w:p w14:paraId="50F5EAA0" w14:textId="77777777" w:rsidR="00E12D1C" w:rsidRPr="002E047E" w:rsidRDefault="00E12D1C" w:rsidP="001351F2">
            <w:pPr>
              <w:rPr>
                <w:rFonts w:ascii="Arial" w:hAnsi="Arial" w:cs="Arial"/>
              </w:rPr>
            </w:pPr>
            <w:r>
              <w:rPr>
                <w:rFonts w:ascii="Arial" w:hAnsi="Arial" w:cs="Arial"/>
              </w:rPr>
              <w:t>SaskTel</w:t>
            </w:r>
          </w:p>
        </w:tc>
        <w:tc>
          <w:tcPr>
            <w:tcW w:w="6520" w:type="dxa"/>
          </w:tcPr>
          <w:p w14:paraId="0536D73E" w14:textId="77777777" w:rsidR="00E12D1C" w:rsidRPr="002E047E" w:rsidRDefault="00E12D1C" w:rsidP="001351F2">
            <w:pPr>
              <w:rPr>
                <w:rFonts w:ascii="Arial" w:hAnsi="Arial" w:cs="Arial"/>
              </w:rPr>
            </w:pPr>
            <w:r>
              <w:rPr>
                <w:rFonts w:ascii="Arial" w:hAnsi="Arial" w:cs="Arial"/>
              </w:rPr>
              <w:t>Tammy Wilson</w:t>
            </w:r>
          </w:p>
        </w:tc>
      </w:tr>
      <w:tr w:rsidR="00E12D1C" w14:paraId="453DABA0" w14:textId="77777777" w:rsidTr="00E12D1C">
        <w:tc>
          <w:tcPr>
            <w:tcW w:w="2830" w:type="dxa"/>
          </w:tcPr>
          <w:p w14:paraId="32CFEEF3" w14:textId="77777777" w:rsidR="00E12D1C" w:rsidRDefault="00E12D1C" w:rsidP="001351F2">
            <w:pPr>
              <w:rPr>
                <w:rFonts w:ascii="Arial" w:hAnsi="Arial" w:cs="Arial"/>
              </w:rPr>
            </w:pPr>
            <w:r>
              <w:rPr>
                <w:rFonts w:ascii="Arial" w:hAnsi="Arial" w:cs="Arial"/>
              </w:rPr>
              <w:t>Shaw</w:t>
            </w:r>
          </w:p>
        </w:tc>
        <w:tc>
          <w:tcPr>
            <w:tcW w:w="6520" w:type="dxa"/>
          </w:tcPr>
          <w:p w14:paraId="6E0EB4DE" w14:textId="77777777" w:rsidR="00E12D1C" w:rsidRDefault="00E12D1C" w:rsidP="001351F2">
            <w:pPr>
              <w:rPr>
                <w:rFonts w:ascii="Arial" w:hAnsi="Arial" w:cs="Arial"/>
              </w:rPr>
            </w:pPr>
            <w:r>
              <w:rPr>
                <w:rFonts w:ascii="Arial" w:hAnsi="Arial" w:cs="Arial"/>
              </w:rPr>
              <w:t>Graham LeGeyt</w:t>
            </w:r>
          </w:p>
        </w:tc>
      </w:tr>
      <w:tr w:rsidR="005E56A1" w:rsidRPr="009F58EF" w14:paraId="434B6B40" w14:textId="77777777" w:rsidTr="00E12D1C">
        <w:tc>
          <w:tcPr>
            <w:tcW w:w="2830" w:type="dxa"/>
          </w:tcPr>
          <w:p w14:paraId="69EDE014" w14:textId="77777777" w:rsidR="005E56A1" w:rsidRPr="00B33BD9" w:rsidRDefault="003D225C" w:rsidP="001351F2">
            <w:pPr>
              <w:rPr>
                <w:rFonts w:ascii="Arial" w:hAnsi="Arial" w:cs="Arial"/>
                <w:highlight w:val="green"/>
              </w:rPr>
            </w:pPr>
            <w:r w:rsidRPr="00E12D1C">
              <w:rPr>
                <w:rFonts w:ascii="Arial" w:hAnsi="Arial" w:cs="Arial"/>
              </w:rPr>
              <w:t>TELUS</w:t>
            </w:r>
          </w:p>
        </w:tc>
        <w:tc>
          <w:tcPr>
            <w:tcW w:w="6520" w:type="dxa"/>
          </w:tcPr>
          <w:p w14:paraId="65BA5FFE" w14:textId="77777777" w:rsidR="00F51F01" w:rsidRPr="00E12D1C" w:rsidRDefault="008D45DF" w:rsidP="001351F2">
            <w:pPr>
              <w:rPr>
                <w:rFonts w:ascii="Arial" w:hAnsi="Arial" w:cs="Arial"/>
              </w:rPr>
            </w:pPr>
            <w:r w:rsidRPr="00E12D1C">
              <w:rPr>
                <w:rFonts w:ascii="Arial" w:hAnsi="Arial" w:cs="Arial"/>
              </w:rPr>
              <w:t>John MacKenzie</w:t>
            </w:r>
            <w:r w:rsidR="0050089B" w:rsidRPr="00E12D1C">
              <w:rPr>
                <w:rFonts w:ascii="Arial" w:hAnsi="Arial" w:cs="Arial"/>
              </w:rPr>
              <w:t xml:space="preserve"> </w:t>
            </w:r>
            <w:r w:rsidR="00B75DD8" w:rsidRPr="00835D0B">
              <w:rPr>
                <w:rFonts w:ascii="Arial" w:hAnsi="Arial" w:cs="Arial"/>
              </w:rPr>
              <w:t>– Writing Committee</w:t>
            </w:r>
          </w:p>
          <w:p w14:paraId="3A016F5C" w14:textId="77777777" w:rsidR="00B82AD7" w:rsidRPr="004E0342" w:rsidRDefault="00B82AD7" w:rsidP="001351F2">
            <w:pPr>
              <w:rPr>
                <w:rFonts w:ascii="Arial" w:hAnsi="Arial" w:cs="Arial"/>
                <w:highlight w:val="green"/>
              </w:rPr>
            </w:pPr>
            <w:r w:rsidRPr="004E0342">
              <w:rPr>
                <w:rFonts w:ascii="Arial" w:hAnsi="Arial" w:cs="Arial"/>
              </w:rPr>
              <w:t xml:space="preserve">Martin Laroche </w:t>
            </w:r>
          </w:p>
          <w:p w14:paraId="6419FF53" w14:textId="77777777" w:rsidR="003D225C" w:rsidRPr="00F00180" w:rsidRDefault="00CC611A" w:rsidP="001351F2">
            <w:pPr>
              <w:rPr>
                <w:rFonts w:ascii="Arial" w:hAnsi="Arial"/>
              </w:rPr>
            </w:pPr>
            <w:r w:rsidRPr="00F00180">
              <w:rPr>
                <w:rFonts w:ascii="Arial" w:hAnsi="Arial"/>
              </w:rPr>
              <w:t>Olena Bilozerska</w:t>
            </w:r>
          </w:p>
          <w:p w14:paraId="54650A5D" w14:textId="77777777" w:rsidR="00E12D1C" w:rsidRPr="00F00180" w:rsidRDefault="00E12D1C" w:rsidP="001351F2">
            <w:pPr>
              <w:rPr>
                <w:rFonts w:ascii="Arial" w:hAnsi="Arial"/>
                <w:highlight w:val="green"/>
              </w:rPr>
            </w:pPr>
            <w:r w:rsidRPr="00F00180">
              <w:rPr>
                <w:rFonts w:ascii="Arial" w:hAnsi="Arial"/>
              </w:rPr>
              <w:t>Peter Szabo</w:t>
            </w:r>
          </w:p>
        </w:tc>
      </w:tr>
      <w:tr w:rsidR="00797EA5" w:rsidRPr="009F58EF" w14:paraId="0C10577B" w14:textId="77777777" w:rsidTr="00E12D1C">
        <w:tc>
          <w:tcPr>
            <w:tcW w:w="2830" w:type="dxa"/>
          </w:tcPr>
          <w:p w14:paraId="3F5E4B72" w14:textId="77777777" w:rsidR="00797EA5" w:rsidRPr="00E12D1C" w:rsidRDefault="00797EA5" w:rsidP="001351F2">
            <w:pPr>
              <w:rPr>
                <w:rFonts w:ascii="Arial" w:hAnsi="Arial" w:cs="Arial"/>
              </w:rPr>
            </w:pPr>
            <w:r>
              <w:rPr>
                <w:rFonts w:ascii="Arial" w:hAnsi="Arial" w:cs="Arial"/>
              </w:rPr>
              <w:t>Independent</w:t>
            </w:r>
          </w:p>
        </w:tc>
        <w:tc>
          <w:tcPr>
            <w:tcW w:w="6520" w:type="dxa"/>
          </w:tcPr>
          <w:p w14:paraId="1F811C0C" w14:textId="77777777" w:rsidR="00797EA5" w:rsidRDefault="00797EA5" w:rsidP="001351F2">
            <w:pPr>
              <w:rPr>
                <w:rFonts w:ascii="Arial" w:hAnsi="Arial" w:cs="Arial"/>
              </w:rPr>
            </w:pPr>
            <w:r w:rsidRPr="002E047E">
              <w:rPr>
                <w:rFonts w:ascii="Arial" w:hAnsi="Arial" w:cs="Arial"/>
              </w:rPr>
              <w:t xml:space="preserve">Gerry Thompson – TIF 112 co-sponsor, Writing Committee Lead, </w:t>
            </w:r>
            <w:r>
              <w:rPr>
                <w:rFonts w:ascii="Arial" w:hAnsi="Arial" w:cs="Arial"/>
              </w:rPr>
              <w:t xml:space="preserve">CNCO199A, CNCO201A, </w:t>
            </w:r>
            <w:r w:rsidRPr="00E5077A">
              <w:rPr>
                <w:rFonts w:ascii="Arial" w:hAnsi="Arial" w:cs="Arial"/>
              </w:rPr>
              <w:t>CNCO204A/B</w:t>
            </w:r>
            <w:r>
              <w:rPr>
                <w:rFonts w:ascii="Arial" w:hAnsi="Arial" w:cs="Arial"/>
              </w:rPr>
              <w:t xml:space="preserve">/C, </w:t>
            </w:r>
            <w:r w:rsidRPr="00E12D1C">
              <w:rPr>
                <w:rFonts w:ascii="Arial" w:hAnsi="Arial" w:cs="Arial"/>
              </w:rPr>
              <w:t>CNCO206A</w:t>
            </w:r>
            <w:r>
              <w:rPr>
                <w:rFonts w:ascii="Arial" w:hAnsi="Arial" w:cs="Arial"/>
              </w:rPr>
              <w:t>/B/C/D</w:t>
            </w:r>
          </w:p>
          <w:p w14:paraId="371DC4B6" w14:textId="77777777" w:rsidR="00797EA5" w:rsidRPr="00E12D1C" w:rsidRDefault="00797EA5" w:rsidP="001351F2">
            <w:pPr>
              <w:rPr>
                <w:rFonts w:ascii="Arial" w:hAnsi="Arial" w:cs="Arial"/>
              </w:rPr>
            </w:pPr>
            <w:r w:rsidRPr="00E12D1C">
              <w:rPr>
                <w:rFonts w:ascii="Arial" w:hAnsi="Arial" w:cs="Arial"/>
              </w:rPr>
              <w:t>Karen Robinson – TIF 112 co-sponsor</w:t>
            </w:r>
            <w:r w:rsidR="00F57B35">
              <w:rPr>
                <w:rFonts w:ascii="Arial" w:hAnsi="Arial" w:cs="Arial"/>
              </w:rPr>
              <w:t xml:space="preserve">, </w:t>
            </w:r>
            <w:r w:rsidR="00F57B35" w:rsidRPr="002E047E">
              <w:rPr>
                <w:rFonts w:ascii="Arial" w:hAnsi="Arial" w:cs="Arial"/>
              </w:rPr>
              <w:t>Writing Committee</w:t>
            </w:r>
          </w:p>
        </w:tc>
      </w:tr>
    </w:tbl>
    <w:p w14:paraId="69F8C998" w14:textId="77777777" w:rsidR="00640018" w:rsidRPr="004E0342" w:rsidRDefault="00640018" w:rsidP="001351F2">
      <w:pPr>
        <w:rPr>
          <w:rFonts w:ascii="Arial" w:hAnsi="Arial"/>
        </w:rPr>
      </w:pPr>
    </w:p>
    <w:p w14:paraId="085ACA1A" w14:textId="77777777" w:rsidR="000D354B" w:rsidRPr="004E0342" w:rsidRDefault="000D354B" w:rsidP="001351F2">
      <w:pPr>
        <w:rPr>
          <w:rFonts w:ascii="Arial" w:hAnsi="Arial"/>
        </w:rPr>
      </w:pPr>
      <w:r w:rsidRPr="004E0342">
        <w:rPr>
          <w:rFonts w:ascii="Arial" w:hAnsi="Arial"/>
        </w:rPr>
        <w:br w:type="page"/>
      </w:r>
    </w:p>
    <w:p w14:paraId="1E0800EB" w14:textId="77777777" w:rsidR="000D354B" w:rsidRPr="004E0342" w:rsidRDefault="000D354B" w:rsidP="001351F2">
      <w:pPr>
        <w:rPr>
          <w:rFonts w:ascii="Arial" w:hAnsi="Arial"/>
        </w:rPr>
      </w:pPr>
    </w:p>
    <w:p w14:paraId="3417F710" w14:textId="77777777" w:rsidR="000D354B" w:rsidRPr="00B41924" w:rsidRDefault="000D354B" w:rsidP="001351F2">
      <w:pPr>
        <w:pStyle w:val="Heading1"/>
        <w:rPr>
          <w:rFonts w:ascii="Arial" w:hAnsi="Arial" w:cs="Arial"/>
        </w:rPr>
      </w:pPr>
      <w:bookmarkStart w:id="97" w:name="_Toc156387059"/>
      <w:bookmarkStart w:id="98" w:name="_Toc162946415"/>
      <w:r>
        <w:rPr>
          <w:rFonts w:ascii="Arial" w:hAnsi="Arial" w:cs="Arial"/>
        </w:rPr>
        <w:t>NTWG</w:t>
      </w:r>
      <w:r w:rsidRPr="00B41924">
        <w:rPr>
          <w:rFonts w:ascii="Arial" w:hAnsi="Arial" w:cs="Arial"/>
        </w:rPr>
        <w:t xml:space="preserve"> TIF </w:t>
      </w:r>
      <w:r>
        <w:rPr>
          <w:rFonts w:ascii="Arial" w:hAnsi="Arial" w:cs="Arial"/>
        </w:rPr>
        <w:t>43</w:t>
      </w:r>
      <w:r w:rsidRPr="00B41924">
        <w:rPr>
          <w:rFonts w:ascii="Arial" w:hAnsi="Arial" w:cs="Arial"/>
        </w:rPr>
        <w:t xml:space="preserve"> Participants</w:t>
      </w:r>
      <w:bookmarkEnd w:id="97"/>
      <w:bookmarkEnd w:id="98"/>
    </w:p>
    <w:p w14:paraId="166DE36D" w14:textId="77777777" w:rsidR="000D354B" w:rsidRDefault="000D354B" w:rsidP="001351F2">
      <w:pPr>
        <w:rPr>
          <w:rFonts w:ascii="Arial" w:hAnsi="Arial" w:cs="Arial"/>
        </w:rPr>
      </w:pPr>
      <w:r>
        <w:rPr>
          <w:rFonts w:ascii="Arial" w:hAnsi="Arial" w:cs="Arial"/>
        </w:rPr>
        <w:br/>
        <w:t>The NTWG recognizes the participation and contributions from the following participants:</w:t>
      </w:r>
      <w:r>
        <w:rPr>
          <w:rFonts w:ascii="Arial" w:hAnsi="Arial" w:cs="Arial"/>
        </w:rPr>
        <w:br/>
      </w:r>
    </w:p>
    <w:p w14:paraId="10BA926F" w14:textId="41B69DC9" w:rsidR="00D1680C" w:rsidRPr="00F00180" w:rsidRDefault="00D1680C" w:rsidP="001351F2">
      <w:pPr>
        <w:pStyle w:val="Caption"/>
        <w:keepNext/>
        <w:rPr>
          <w:sz w:val="24"/>
        </w:rPr>
      </w:pPr>
      <w:bookmarkStart w:id="99" w:name="_Toc156385639"/>
      <w:bookmarkStart w:id="100" w:name="_Toc162946425"/>
      <w:r w:rsidRPr="00F00180">
        <w:rPr>
          <w:b/>
          <w:sz w:val="24"/>
        </w:rPr>
        <w:t xml:space="preserve">Figure </w:t>
      </w:r>
      <w:r w:rsidR="00262139" w:rsidRPr="00F00180">
        <w:rPr>
          <w:b/>
          <w:sz w:val="24"/>
        </w:rPr>
        <w:fldChar w:fldCharType="begin"/>
      </w:r>
      <w:r w:rsidR="00262139" w:rsidRPr="00F00180">
        <w:rPr>
          <w:b/>
          <w:sz w:val="24"/>
        </w:rPr>
        <w:instrText xml:space="preserve"> SEQ Figure \* ARABIC </w:instrText>
      </w:r>
      <w:r w:rsidR="00262139" w:rsidRPr="00F00180">
        <w:rPr>
          <w:b/>
          <w:sz w:val="24"/>
        </w:rPr>
        <w:fldChar w:fldCharType="separate"/>
      </w:r>
      <w:r w:rsidR="00924761" w:rsidRPr="00F00180">
        <w:rPr>
          <w:b/>
          <w:sz w:val="24"/>
        </w:rPr>
        <w:t>10</w:t>
      </w:r>
      <w:r w:rsidR="00262139" w:rsidRPr="00F00180">
        <w:rPr>
          <w:b/>
          <w:sz w:val="24"/>
        </w:rPr>
        <w:fldChar w:fldCharType="end"/>
      </w:r>
      <w:r w:rsidRPr="00F00180">
        <w:rPr>
          <w:sz w:val="24"/>
        </w:rPr>
        <w:t>: NTWG Participants</w:t>
      </w:r>
      <w:bookmarkEnd w:id="99"/>
      <w:bookmarkEnd w:id="100"/>
    </w:p>
    <w:tbl>
      <w:tblPr>
        <w:tblStyle w:val="TableGrid"/>
        <w:tblW w:w="0" w:type="auto"/>
        <w:tblLook w:val="04A0" w:firstRow="1" w:lastRow="0" w:firstColumn="1" w:lastColumn="0" w:noHBand="0" w:noVBand="1"/>
      </w:tblPr>
      <w:tblGrid>
        <w:gridCol w:w="2547"/>
        <w:gridCol w:w="6803"/>
      </w:tblGrid>
      <w:tr w:rsidR="000D354B" w14:paraId="799255A5" w14:textId="77777777" w:rsidTr="007A2CD5">
        <w:tc>
          <w:tcPr>
            <w:tcW w:w="2547" w:type="dxa"/>
          </w:tcPr>
          <w:p w14:paraId="60906AE3" w14:textId="77777777" w:rsidR="000D354B" w:rsidRPr="00855F62" w:rsidRDefault="000D354B" w:rsidP="001351F2">
            <w:pPr>
              <w:rPr>
                <w:rFonts w:ascii="Arial" w:hAnsi="Arial" w:cs="Arial"/>
                <w:u w:val="single"/>
              </w:rPr>
            </w:pPr>
            <w:r w:rsidRPr="00855F62">
              <w:rPr>
                <w:rFonts w:ascii="Arial" w:hAnsi="Arial" w:cs="Arial"/>
                <w:u w:val="single"/>
              </w:rPr>
              <w:t>Organization</w:t>
            </w:r>
          </w:p>
        </w:tc>
        <w:tc>
          <w:tcPr>
            <w:tcW w:w="6803" w:type="dxa"/>
          </w:tcPr>
          <w:p w14:paraId="1F617A02" w14:textId="77777777" w:rsidR="000D354B" w:rsidRPr="00855F62" w:rsidRDefault="000D354B" w:rsidP="001351F2">
            <w:pPr>
              <w:rPr>
                <w:rFonts w:ascii="Arial" w:hAnsi="Arial" w:cs="Arial"/>
                <w:u w:val="single"/>
              </w:rPr>
            </w:pPr>
            <w:r w:rsidRPr="00855F62">
              <w:rPr>
                <w:rFonts w:ascii="Arial" w:hAnsi="Arial" w:cs="Arial"/>
                <w:u w:val="single"/>
              </w:rPr>
              <w:t>Name</w:t>
            </w:r>
            <w:r>
              <w:rPr>
                <w:rFonts w:ascii="Arial" w:hAnsi="Arial" w:cs="Arial"/>
                <w:u w:val="single"/>
              </w:rPr>
              <w:t xml:space="preserve"> &amp; Specific Roles</w:t>
            </w:r>
            <w:r w:rsidRPr="00855F62">
              <w:rPr>
                <w:rFonts w:ascii="Arial" w:hAnsi="Arial" w:cs="Arial"/>
                <w:u w:val="single"/>
              </w:rPr>
              <w:br/>
            </w:r>
          </w:p>
        </w:tc>
      </w:tr>
      <w:tr w:rsidR="00EE3DEC" w14:paraId="4ED3E004" w14:textId="77777777" w:rsidTr="007A2CD5">
        <w:tc>
          <w:tcPr>
            <w:tcW w:w="2547" w:type="dxa"/>
          </w:tcPr>
          <w:p w14:paraId="7DECA09C" w14:textId="77777777" w:rsidR="00EE3DEC" w:rsidRPr="00EE3DEC" w:rsidRDefault="00EE3DEC" w:rsidP="001351F2">
            <w:pPr>
              <w:rPr>
                <w:rFonts w:ascii="Arial" w:hAnsi="Arial" w:cs="Arial"/>
              </w:rPr>
            </w:pPr>
            <w:r>
              <w:rPr>
                <w:rFonts w:ascii="Arial" w:hAnsi="Arial" w:cs="Arial"/>
              </w:rPr>
              <w:t>AT&amp;T</w:t>
            </w:r>
          </w:p>
        </w:tc>
        <w:tc>
          <w:tcPr>
            <w:tcW w:w="6803" w:type="dxa"/>
          </w:tcPr>
          <w:p w14:paraId="79DA82AB" w14:textId="77777777" w:rsidR="00EE3DEC" w:rsidRPr="00EE3DEC" w:rsidRDefault="00EE3DEC" w:rsidP="001351F2">
            <w:pPr>
              <w:rPr>
                <w:rFonts w:ascii="Arial" w:hAnsi="Arial" w:cs="Arial"/>
              </w:rPr>
            </w:pPr>
            <w:r w:rsidRPr="00EE3DEC">
              <w:rPr>
                <w:rFonts w:ascii="Arial" w:hAnsi="Arial" w:cs="Arial"/>
              </w:rPr>
              <w:t xml:space="preserve">Martin Dolly </w:t>
            </w:r>
          </w:p>
        </w:tc>
      </w:tr>
      <w:tr w:rsidR="000D354B" w:rsidRPr="00D208DD" w14:paraId="2A426A13" w14:textId="77777777" w:rsidTr="007A2CD5">
        <w:tc>
          <w:tcPr>
            <w:tcW w:w="2547" w:type="dxa"/>
          </w:tcPr>
          <w:p w14:paraId="3145EA12" w14:textId="77777777" w:rsidR="000D354B" w:rsidRPr="00835D0B" w:rsidRDefault="000D354B" w:rsidP="001351F2">
            <w:pPr>
              <w:rPr>
                <w:rFonts w:ascii="Arial" w:hAnsi="Arial" w:cs="Arial"/>
              </w:rPr>
            </w:pPr>
            <w:r w:rsidRPr="00835D0B">
              <w:rPr>
                <w:rFonts w:ascii="Arial" w:hAnsi="Arial" w:cs="Arial"/>
              </w:rPr>
              <w:t>Bell Canada</w:t>
            </w:r>
          </w:p>
        </w:tc>
        <w:tc>
          <w:tcPr>
            <w:tcW w:w="6803" w:type="dxa"/>
          </w:tcPr>
          <w:p w14:paraId="62318E9A" w14:textId="77777777" w:rsidR="000D354B" w:rsidRDefault="000D354B" w:rsidP="001351F2">
            <w:pPr>
              <w:rPr>
                <w:rFonts w:ascii="Arial" w:hAnsi="Arial" w:cs="Arial"/>
              </w:rPr>
            </w:pPr>
            <w:r w:rsidRPr="00835D0B">
              <w:rPr>
                <w:rFonts w:ascii="Arial" w:hAnsi="Arial" w:cs="Arial"/>
              </w:rPr>
              <w:t xml:space="preserve">Joey-Lynn Abdulkader </w:t>
            </w:r>
          </w:p>
          <w:p w14:paraId="22389086" w14:textId="77777777" w:rsidR="00EE3DEC" w:rsidRDefault="00EE3DEC" w:rsidP="001351F2">
            <w:pPr>
              <w:rPr>
                <w:rFonts w:ascii="Arial" w:hAnsi="Arial" w:cs="Arial"/>
                <w:color w:val="000000"/>
                <w:lang w:eastAsia="en-CA"/>
              </w:rPr>
            </w:pPr>
            <w:proofErr w:type="spellStart"/>
            <w:r w:rsidRPr="00710C6C">
              <w:rPr>
                <w:rFonts w:ascii="Arial" w:hAnsi="Arial" w:cs="Arial"/>
                <w:color w:val="000000"/>
                <w:lang w:eastAsia="en-CA"/>
              </w:rPr>
              <w:t>Sefiu</w:t>
            </w:r>
            <w:proofErr w:type="spellEnd"/>
            <w:r w:rsidRPr="00710C6C">
              <w:rPr>
                <w:rFonts w:ascii="Arial" w:hAnsi="Arial" w:cs="Arial"/>
                <w:color w:val="000000"/>
                <w:lang w:eastAsia="en-CA"/>
              </w:rPr>
              <w:t xml:space="preserve"> Ibikunle</w:t>
            </w:r>
          </w:p>
          <w:p w14:paraId="6F0D31B4" w14:textId="77777777" w:rsidR="00EE3DEC" w:rsidRDefault="00EE3DEC" w:rsidP="001351F2">
            <w:pPr>
              <w:rPr>
                <w:rFonts w:ascii="Arial" w:hAnsi="Arial" w:cs="Arial"/>
                <w:color w:val="000000"/>
                <w:lang w:eastAsia="en-CA"/>
              </w:rPr>
            </w:pPr>
            <w:r>
              <w:rPr>
                <w:rFonts w:ascii="Arial" w:hAnsi="Arial" w:cs="Arial"/>
                <w:color w:val="000000"/>
                <w:lang w:eastAsia="en-CA"/>
              </w:rPr>
              <w:t>Jake Hwang</w:t>
            </w:r>
          </w:p>
          <w:p w14:paraId="6838BC1A" w14:textId="77777777" w:rsidR="00665461" w:rsidRDefault="00665461" w:rsidP="001351F2">
            <w:pPr>
              <w:rPr>
                <w:rFonts w:ascii="Arial" w:hAnsi="Arial" w:cs="Arial"/>
                <w:color w:val="000000"/>
                <w:lang w:eastAsia="en-CA"/>
              </w:rPr>
            </w:pPr>
            <w:r>
              <w:rPr>
                <w:rFonts w:ascii="Arial" w:hAnsi="Arial" w:cs="Arial"/>
              </w:rPr>
              <w:t>Mohammad Tabari</w:t>
            </w:r>
          </w:p>
          <w:p w14:paraId="63951912" w14:textId="77777777" w:rsidR="00B242D8" w:rsidRDefault="00B242D8" w:rsidP="001351F2">
            <w:pPr>
              <w:rPr>
                <w:rFonts w:ascii="Arial" w:hAnsi="Arial" w:cs="Arial"/>
                <w:color w:val="000000"/>
                <w:lang w:eastAsia="en-CA"/>
              </w:rPr>
            </w:pPr>
            <w:r>
              <w:rPr>
                <w:rFonts w:ascii="Arial" w:hAnsi="Arial" w:cs="Arial"/>
                <w:color w:val="000000"/>
                <w:lang w:eastAsia="en-CA"/>
              </w:rPr>
              <w:t>Thomas Rumball</w:t>
            </w:r>
          </w:p>
          <w:p w14:paraId="69EFA965" w14:textId="77777777" w:rsidR="000D354B" w:rsidRPr="00B242D8" w:rsidRDefault="00B242D8" w:rsidP="001351F2">
            <w:pPr>
              <w:rPr>
                <w:rFonts w:ascii="Arial" w:hAnsi="Arial" w:cs="Arial"/>
              </w:rPr>
            </w:pPr>
            <w:r w:rsidRPr="00B242D8">
              <w:rPr>
                <w:rFonts w:ascii="Arial" w:hAnsi="Arial" w:cs="Arial"/>
              </w:rPr>
              <w:t xml:space="preserve">Mohanraj </w:t>
            </w:r>
            <w:proofErr w:type="spellStart"/>
            <w:r w:rsidRPr="00B242D8">
              <w:rPr>
                <w:rFonts w:ascii="Arial" w:hAnsi="Arial" w:cs="Arial"/>
              </w:rPr>
              <w:t>Sivagnanasundaram</w:t>
            </w:r>
            <w:proofErr w:type="spellEnd"/>
            <w:r>
              <w:rPr>
                <w:rFonts w:ascii="Arial" w:hAnsi="Arial" w:cs="Arial"/>
              </w:rPr>
              <w:t xml:space="preserve"> (“Siv”)</w:t>
            </w:r>
            <w:r w:rsidRPr="00B242D8">
              <w:rPr>
                <w:rFonts w:ascii="Arial" w:hAnsi="Arial" w:cs="Arial"/>
              </w:rPr>
              <w:t xml:space="preserve"> </w:t>
            </w:r>
          </w:p>
        </w:tc>
      </w:tr>
      <w:tr w:rsidR="00EE3DEC" w14:paraId="40BF1A5F" w14:textId="77777777" w:rsidTr="007A2CD5">
        <w:tc>
          <w:tcPr>
            <w:tcW w:w="2547" w:type="dxa"/>
          </w:tcPr>
          <w:p w14:paraId="50EC2156" w14:textId="77777777" w:rsidR="00EE3DEC" w:rsidRDefault="00EE3DEC" w:rsidP="001351F2">
            <w:pPr>
              <w:rPr>
                <w:rFonts w:ascii="Arial" w:hAnsi="Arial" w:cs="Arial"/>
              </w:rPr>
            </w:pPr>
            <w:r>
              <w:rPr>
                <w:rFonts w:ascii="Arial" w:hAnsi="Arial" w:cs="Arial"/>
              </w:rPr>
              <w:t>CityWest</w:t>
            </w:r>
          </w:p>
        </w:tc>
        <w:tc>
          <w:tcPr>
            <w:tcW w:w="6803" w:type="dxa"/>
          </w:tcPr>
          <w:p w14:paraId="0DC7B032" w14:textId="77777777" w:rsidR="00EE3DEC" w:rsidRDefault="00EE3DEC" w:rsidP="001351F2">
            <w:pPr>
              <w:rPr>
                <w:rFonts w:ascii="Arial" w:hAnsi="Arial" w:cs="Arial"/>
              </w:rPr>
            </w:pPr>
            <w:r>
              <w:rPr>
                <w:rFonts w:ascii="Arial" w:hAnsi="Arial" w:cs="Arial"/>
              </w:rPr>
              <w:t>Paul Fleming</w:t>
            </w:r>
          </w:p>
        </w:tc>
      </w:tr>
      <w:tr w:rsidR="000D354B" w14:paraId="467626CC" w14:textId="77777777" w:rsidTr="007A2CD5">
        <w:tc>
          <w:tcPr>
            <w:tcW w:w="2547" w:type="dxa"/>
          </w:tcPr>
          <w:p w14:paraId="7E638ECB" w14:textId="77777777" w:rsidR="000D354B" w:rsidRPr="00835D0B" w:rsidRDefault="000D354B" w:rsidP="001351F2">
            <w:pPr>
              <w:rPr>
                <w:rFonts w:ascii="Arial" w:hAnsi="Arial" w:cs="Arial"/>
              </w:rPr>
            </w:pPr>
            <w:r w:rsidRPr="00835D0B">
              <w:rPr>
                <w:rFonts w:ascii="Arial" w:hAnsi="Arial" w:cs="Arial"/>
              </w:rPr>
              <w:t>CNA</w:t>
            </w:r>
          </w:p>
        </w:tc>
        <w:tc>
          <w:tcPr>
            <w:tcW w:w="6803" w:type="dxa"/>
          </w:tcPr>
          <w:p w14:paraId="4C69EB3F" w14:textId="77777777" w:rsidR="000D354B" w:rsidRPr="00835D0B" w:rsidRDefault="000D354B" w:rsidP="001351F2">
            <w:pPr>
              <w:rPr>
                <w:rFonts w:ascii="Arial" w:hAnsi="Arial" w:cs="Arial"/>
              </w:rPr>
            </w:pPr>
            <w:r w:rsidRPr="00835D0B">
              <w:rPr>
                <w:rFonts w:ascii="Arial" w:hAnsi="Arial" w:cs="Arial"/>
              </w:rPr>
              <w:t xml:space="preserve">Kelly T. Walsh – CSCN Chair </w:t>
            </w:r>
            <w:r w:rsidRPr="00835D0B">
              <w:rPr>
                <w:rFonts w:ascii="Arial" w:hAnsi="Arial" w:cs="Arial"/>
              </w:rPr>
              <w:br/>
              <w:t>David Comrie – CSCN Secretary</w:t>
            </w:r>
          </w:p>
          <w:p w14:paraId="1672A023" w14:textId="77777777" w:rsidR="000D354B" w:rsidRPr="00835D0B" w:rsidRDefault="000D354B" w:rsidP="001351F2">
            <w:pPr>
              <w:rPr>
                <w:rFonts w:ascii="Arial" w:hAnsi="Arial" w:cs="Arial"/>
              </w:rPr>
            </w:pPr>
            <w:r w:rsidRPr="00835D0B">
              <w:rPr>
                <w:rFonts w:ascii="Arial" w:hAnsi="Arial" w:cs="Arial"/>
              </w:rPr>
              <w:t xml:space="preserve">Fiona Clegg </w:t>
            </w:r>
            <w:r w:rsidRPr="00835D0B">
              <w:rPr>
                <w:rFonts w:ascii="Arial" w:hAnsi="Arial" w:cs="Arial"/>
              </w:rPr>
              <w:br/>
              <w:t xml:space="preserve">Suresh Khare </w:t>
            </w:r>
          </w:p>
        </w:tc>
      </w:tr>
      <w:tr w:rsidR="000D354B" w14:paraId="3D723A2D" w14:textId="77777777" w:rsidTr="007A2CD5">
        <w:tc>
          <w:tcPr>
            <w:tcW w:w="2547" w:type="dxa"/>
          </w:tcPr>
          <w:p w14:paraId="3DBB2FE9" w14:textId="77777777" w:rsidR="000D354B" w:rsidRPr="00835D0B" w:rsidRDefault="000D354B" w:rsidP="001351F2">
            <w:pPr>
              <w:rPr>
                <w:rFonts w:ascii="Arial" w:hAnsi="Arial" w:cs="Arial"/>
              </w:rPr>
            </w:pPr>
            <w:r w:rsidRPr="00835D0B">
              <w:rPr>
                <w:rFonts w:ascii="Arial" w:hAnsi="Arial" w:cs="Arial"/>
              </w:rPr>
              <w:t>CNAC</w:t>
            </w:r>
          </w:p>
        </w:tc>
        <w:tc>
          <w:tcPr>
            <w:tcW w:w="6803" w:type="dxa"/>
          </w:tcPr>
          <w:p w14:paraId="5129C247" w14:textId="77777777" w:rsidR="000D354B" w:rsidRPr="00835D0B" w:rsidRDefault="000D354B" w:rsidP="001351F2">
            <w:pPr>
              <w:rPr>
                <w:rFonts w:ascii="Arial" w:hAnsi="Arial" w:cs="Arial"/>
              </w:rPr>
            </w:pPr>
            <w:r w:rsidRPr="00835D0B">
              <w:rPr>
                <w:rFonts w:ascii="Arial" w:hAnsi="Arial" w:cs="Arial"/>
              </w:rPr>
              <w:t>Glenn Pilley</w:t>
            </w:r>
          </w:p>
          <w:p w14:paraId="4A0F0651" w14:textId="77777777" w:rsidR="000D354B" w:rsidRPr="00835D0B" w:rsidRDefault="000D354B" w:rsidP="001351F2">
            <w:pPr>
              <w:rPr>
                <w:rFonts w:ascii="Arial" w:hAnsi="Arial" w:cs="Arial"/>
              </w:rPr>
            </w:pPr>
            <w:r w:rsidRPr="00835D0B">
              <w:rPr>
                <w:rFonts w:ascii="Arial" w:hAnsi="Arial" w:cs="Arial"/>
              </w:rPr>
              <w:t>Bill Barsley</w:t>
            </w:r>
          </w:p>
        </w:tc>
      </w:tr>
      <w:tr w:rsidR="000D354B" w14:paraId="24938C48" w14:textId="77777777" w:rsidTr="007A2CD5">
        <w:tc>
          <w:tcPr>
            <w:tcW w:w="2547" w:type="dxa"/>
          </w:tcPr>
          <w:p w14:paraId="622EA7A3" w14:textId="77777777" w:rsidR="000D354B" w:rsidRPr="00B33BD9" w:rsidRDefault="000D354B" w:rsidP="001351F2">
            <w:pPr>
              <w:rPr>
                <w:rFonts w:ascii="Arial" w:hAnsi="Arial" w:cs="Arial"/>
                <w:highlight w:val="green"/>
              </w:rPr>
            </w:pPr>
            <w:proofErr w:type="spellStart"/>
            <w:r w:rsidRPr="000D354B">
              <w:rPr>
                <w:rFonts w:ascii="Arial" w:hAnsi="Arial" w:cs="Arial"/>
              </w:rPr>
              <w:t>COMSolve</w:t>
            </w:r>
            <w:proofErr w:type="spellEnd"/>
          </w:p>
        </w:tc>
        <w:tc>
          <w:tcPr>
            <w:tcW w:w="6803" w:type="dxa"/>
          </w:tcPr>
          <w:p w14:paraId="32E20982" w14:textId="77777777" w:rsidR="000D354B" w:rsidRPr="00B33BD9" w:rsidRDefault="000D354B" w:rsidP="001351F2">
            <w:pPr>
              <w:rPr>
                <w:rFonts w:ascii="Arial" w:hAnsi="Arial" w:cs="Arial"/>
                <w:highlight w:val="green"/>
              </w:rPr>
            </w:pPr>
            <w:r w:rsidRPr="000D354B">
              <w:rPr>
                <w:rFonts w:ascii="Arial" w:hAnsi="Arial" w:cs="Arial"/>
              </w:rPr>
              <w:t>Edward Antecol – NTCO0736, NOCO0741</w:t>
            </w:r>
          </w:p>
        </w:tc>
      </w:tr>
      <w:tr w:rsidR="000D354B" w14:paraId="34D885B1" w14:textId="77777777" w:rsidTr="007A2CD5">
        <w:tc>
          <w:tcPr>
            <w:tcW w:w="2547" w:type="dxa"/>
          </w:tcPr>
          <w:p w14:paraId="4B7967A5" w14:textId="77777777" w:rsidR="000D354B" w:rsidRPr="00EE3DEC" w:rsidRDefault="000D354B" w:rsidP="001351F2">
            <w:pPr>
              <w:rPr>
                <w:rFonts w:ascii="Arial" w:hAnsi="Arial" w:cs="Arial"/>
              </w:rPr>
            </w:pPr>
            <w:r w:rsidRPr="00EE3DEC">
              <w:rPr>
                <w:rFonts w:ascii="Arial" w:hAnsi="Arial" w:cs="Arial"/>
              </w:rPr>
              <w:t>CRTC</w:t>
            </w:r>
          </w:p>
        </w:tc>
        <w:tc>
          <w:tcPr>
            <w:tcW w:w="6803" w:type="dxa"/>
          </w:tcPr>
          <w:p w14:paraId="0B89F558" w14:textId="77777777" w:rsidR="000D354B" w:rsidRDefault="00EE3DEC" w:rsidP="001351F2">
            <w:pPr>
              <w:rPr>
                <w:rFonts w:ascii="Arial" w:hAnsi="Arial" w:cs="Arial"/>
              </w:rPr>
            </w:pPr>
            <w:r w:rsidRPr="00EE3DEC">
              <w:rPr>
                <w:rFonts w:ascii="Arial" w:hAnsi="Arial" w:cs="Arial"/>
              </w:rPr>
              <w:t xml:space="preserve">Sebastien </w:t>
            </w:r>
            <w:proofErr w:type="spellStart"/>
            <w:r w:rsidRPr="00EE3DEC">
              <w:rPr>
                <w:rFonts w:ascii="Arial" w:hAnsi="Arial" w:cs="Arial"/>
              </w:rPr>
              <w:t>Garsuault</w:t>
            </w:r>
            <w:proofErr w:type="spellEnd"/>
          </w:p>
          <w:p w14:paraId="4695E0A0" w14:textId="77777777" w:rsidR="00EE3DEC" w:rsidRPr="00EE3DEC" w:rsidRDefault="00EE3DEC" w:rsidP="001351F2">
            <w:pPr>
              <w:rPr>
                <w:rFonts w:ascii="Arial" w:hAnsi="Arial" w:cs="Arial"/>
              </w:rPr>
            </w:pPr>
            <w:r>
              <w:rPr>
                <w:rFonts w:ascii="Arial" w:hAnsi="Arial" w:cs="Arial"/>
              </w:rPr>
              <w:t>Imran Gill</w:t>
            </w:r>
          </w:p>
          <w:p w14:paraId="7ED721AE" w14:textId="77777777" w:rsidR="00EE3DEC" w:rsidRDefault="00EE3DEC" w:rsidP="001351F2">
            <w:pPr>
              <w:rPr>
                <w:rFonts w:ascii="Arial" w:hAnsi="Arial" w:cs="Arial"/>
              </w:rPr>
            </w:pPr>
            <w:r>
              <w:rPr>
                <w:rFonts w:ascii="Arial" w:hAnsi="Arial" w:cs="Arial"/>
              </w:rPr>
              <w:t>Vish Iyer</w:t>
            </w:r>
          </w:p>
          <w:p w14:paraId="1E33FBF6" w14:textId="77777777" w:rsidR="00B242D8" w:rsidRDefault="00B242D8" w:rsidP="001351F2">
            <w:pPr>
              <w:rPr>
                <w:rFonts w:ascii="Arial" w:hAnsi="Arial" w:cs="Arial"/>
              </w:rPr>
            </w:pPr>
            <w:r>
              <w:rPr>
                <w:rFonts w:ascii="Arial" w:hAnsi="Arial" w:cs="Arial"/>
              </w:rPr>
              <w:t>Nilesh Joshi</w:t>
            </w:r>
          </w:p>
          <w:p w14:paraId="4B55C7A3" w14:textId="77777777" w:rsidR="00EE3DEC" w:rsidRPr="00EE3DEC" w:rsidRDefault="00EE3DEC" w:rsidP="001351F2">
            <w:pPr>
              <w:rPr>
                <w:rFonts w:ascii="Arial" w:hAnsi="Arial" w:cs="Arial"/>
              </w:rPr>
            </w:pPr>
            <w:r>
              <w:rPr>
                <w:rFonts w:ascii="Arial" w:hAnsi="Arial" w:cs="Arial"/>
              </w:rPr>
              <w:t>James Ndirangu</w:t>
            </w:r>
          </w:p>
        </w:tc>
      </w:tr>
      <w:tr w:rsidR="000D354B" w14:paraId="79DD546A" w14:textId="77777777" w:rsidTr="007A2CD5">
        <w:tc>
          <w:tcPr>
            <w:tcW w:w="2547" w:type="dxa"/>
          </w:tcPr>
          <w:p w14:paraId="718DAA18" w14:textId="77777777" w:rsidR="000D354B" w:rsidRPr="00EE3DEC" w:rsidRDefault="00EE3DEC" w:rsidP="001351F2">
            <w:pPr>
              <w:rPr>
                <w:rFonts w:ascii="Arial" w:hAnsi="Arial" w:cs="Arial"/>
              </w:rPr>
            </w:pPr>
            <w:r w:rsidRPr="00EE3DEC">
              <w:rPr>
                <w:rFonts w:ascii="Arial" w:hAnsi="Arial" w:cs="Arial"/>
              </w:rPr>
              <w:t>Eastlink</w:t>
            </w:r>
          </w:p>
        </w:tc>
        <w:tc>
          <w:tcPr>
            <w:tcW w:w="6803" w:type="dxa"/>
          </w:tcPr>
          <w:p w14:paraId="62C34FE8" w14:textId="77777777" w:rsidR="000D354B" w:rsidRPr="00EE3DEC" w:rsidRDefault="00EE3DEC" w:rsidP="001351F2">
            <w:pPr>
              <w:rPr>
                <w:rFonts w:ascii="Arial" w:hAnsi="Arial" w:cs="Arial"/>
              </w:rPr>
            </w:pPr>
            <w:r w:rsidRPr="00EE3DEC">
              <w:rPr>
                <w:rFonts w:ascii="Arial" w:hAnsi="Arial" w:cs="Arial"/>
              </w:rPr>
              <w:t>Russel DeLong</w:t>
            </w:r>
          </w:p>
        </w:tc>
      </w:tr>
      <w:tr w:rsidR="00EE3DEC" w14:paraId="009091DF" w14:textId="77777777" w:rsidTr="007A2CD5">
        <w:tc>
          <w:tcPr>
            <w:tcW w:w="2547" w:type="dxa"/>
          </w:tcPr>
          <w:p w14:paraId="3AFC5E3E" w14:textId="77777777" w:rsidR="00EE3DEC" w:rsidRPr="00EE3DEC" w:rsidRDefault="00EE3DEC" w:rsidP="001351F2">
            <w:pPr>
              <w:rPr>
                <w:rFonts w:ascii="Arial" w:hAnsi="Arial" w:cs="Arial"/>
              </w:rPr>
            </w:pPr>
            <w:r w:rsidRPr="00EE3DEC">
              <w:rPr>
                <w:rFonts w:ascii="Arial" w:hAnsi="Arial" w:cs="Arial"/>
              </w:rPr>
              <w:t>Freedom Mobile</w:t>
            </w:r>
          </w:p>
        </w:tc>
        <w:tc>
          <w:tcPr>
            <w:tcW w:w="6803" w:type="dxa"/>
          </w:tcPr>
          <w:p w14:paraId="7EB8548D" w14:textId="77777777" w:rsidR="00EE3DEC" w:rsidRPr="00EE3DEC" w:rsidRDefault="00EE3DEC" w:rsidP="001351F2">
            <w:pPr>
              <w:rPr>
                <w:rFonts w:ascii="Arial" w:hAnsi="Arial" w:cs="Arial"/>
              </w:rPr>
            </w:pPr>
            <w:r w:rsidRPr="00EE3DEC">
              <w:rPr>
                <w:rFonts w:ascii="Arial" w:hAnsi="Arial" w:cs="Arial"/>
              </w:rPr>
              <w:t>Muhammad Uppal</w:t>
            </w:r>
          </w:p>
        </w:tc>
      </w:tr>
      <w:tr w:rsidR="000D354B" w14:paraId="4ED3B90D" w14:textId="77777777" w:rsidTr="007A2CD5">
        <w:tc>
          <w:tcPr>
            <w:tcW w:w="2547" w:type="dxa"/>
          </w:tcPr>
          <w:p w14:paraId="4538DA2C" w14:textId="77777777" w:rsidR="000D354B" w:rsidRPr="00EE3DEC" w:rsidRDefault="000D354B" w:rsidP="001351F2">
            <w:pPr>
              <w:rPr>
                <w:rFonts w:ascii="Arial" w:hAnsi="Arial" w:cs="Arial"/>
              </w:rPr>
            </w:pPr>
            <w:r w:rsidRPr="00EE3DEC">
              <w:rPr>
                <w:rFonts w:ascii="Arial" w:hAnsi="Arial" w:cs="Arial"/>
              </w:rPr>
              <w:t>Neustar</w:t>
            </w:r>
          </w:p>
        </w:tc>
        <w:tc>
          <w:tcPr>
            <w:tcW w:w="6803" w:type="dxa"/>
          </w:tcPr>
          <w:p w14:paraId="3116B2BD" w14:textId="77777777" w:rsidR="000D354B" w:rsidRPr="00EE3DEC" w:rsidRDefault="000D354B" w:rsidP="001351F2">
            <w:pPr>
              <w:rPr>
                <w:rFonts w:ascii="Arial" w:hAnsi="Arial" w:cs="Arial"/>
              </w:rPr>
            </w:pPr>
            <w:r w:rsidRPr="00EE3DEC">
              <w:rPr>
                <w:rFonts w:ascii="Arial" w:hAnsi="Arial" w:cs="Arial"/>
              </w:rPr>
              <w:t>Marcel Champagne</w:t>
            </w:r>
          </w:p>
        </w:tc>
      </w:tr>
      <w:tr w:rsidR="000D354B" w:rsidRPr="00740072" w14:paraId="0F02D347" w14:textId="77777777" w:rsidTr="007A2CD5">
        <w:tc>
          <w:tcPr>
            <w:tcW w:w="2547" w:type="dxa"/>
          </w:tcPr>
          <w:p w14:paraId="2B6F1100" w14:textId="77777777" w:rsidR="000D354B" w:rsidRPr="00B33BD9" w:rsidRDefault="000D354B" w:rsidP="001351F2">
            <w:pPr>
              <w:rPr>
                <w:rFonts w:ascii="Arial" w:hAnsi="Arial" w:cs="Arial"/>
                <w:highlight w:val="green"/>
              </w:rPr>
            </w:pPr>
            <w:r w:rsidRPr="002E047E">
              <w:rPr>
                <w:rFonts w:ascii="Arial" w:hAnsi="Arial" w:cs="Arial"/>
              </w:rPr>
              <w:t>Rogers</w:t>
            </w:r>
          </w:p>
        </w:tc>
        <w:tc>
          <w:tcPr>
            <w:tcW w:w="6803" w:type="dxa"/>
          </w:tcPr>
          <w:p w14:paraId="5EEBE857" w14:textId="77777777" w:rsidR="000D354B" w:rsidRPr="00E26534" w:rsidRDefault="000D354B" w:rsidP="001351F2">
            <w:pPr>
              <w:rPr>
                <w:rFonts w:ascii="Arial" w:hAnsi="Arial"/>
                <w:lang w:val="it-IT"/>
              </w:rPr>
            </w:pPr>
            <w:r w:rsidRPr="00E26534">
              <w:rPr>
                <w:rFonts w:ascii="Arial" w:hAnsi="Arial"/>
                <w:lang w:val="it-IT"/>
              </w:rPr>
              <w:t>A</w:t>
            </w:r>
            <w:r w:rsidR="00EE3DEC" w:rsidRPr="00E26534">
              <w:rPr>
                <w:rFonts w:ascii="Arial" w:hAnsi="Arial"/>
                <w:lang w:val="it-IT"/>
              </w:rPr>
              <w:t>rturo Arreaga</w:t>
            </w:r>
          </w:p>
          <w:p w14:paraId="1B3D4C6A" w14:textId="77777777" w:rsidR="00EE3DEC" w:rsidRPr="00E26534" w:rsidRDefault="00EE3DEC" w:rsidP="001351F2">
            <w:pPr>
              <w:rPr>
                <w:rFonts w:ascii="Arial" w:hAnsi="Arial"/>
                <w:lang w:val="it-IT"/>
              </w:rPr>
            </w:pPr>
            <w:r w:rsidRPr="00E26534">
              <w:rPr>
                <w:rFonts w:ascii="Arial" w:hAnsi="Arial"/>
                <w:lang w:val="it-IT"/>
              </w:rPr>
              <w:t>Pavlo Nebesny</w:t>
            </w:r>
          </w:p>
          <w:p w14:paraId="19A94D2F" w14:textId="77777777" w:rsidR="000D354B" w:rsidRPr="00E26534" w:rsidRDefault="000D354B" w:rsidP="001351F2">
            <w:pPr>
              <w:rPr>
                <w:rFonts w:ascii="Arial" w:hAnsi="Arial"/>
                <w:lang w:val="it-IT"/>
              </w:rPr>
            </w:pPr>
            <w:r w:rsidRPr="00E26534">
              <w:rPr>
                <w:rFonts w:ascii="Arial" w:hAnsi="Arial"/>
                <w:lang w:val="it-IT"/>
              </w:rPr>
              <w:t xml:space="preserve">Jennifer Mack </w:t>
            </w:r>
          </w:p>
        </w:tc>
      </w:tr>
      <w:tr w:rsidR="00EE3DEC" w14:paraId="7E000A35" w14:textId="77777777" w:rsidTr="007A2CD5">
        <w:tc>
          <w:tcPr>
            <w:tcW w:w="2547" w:type="dxa"/>
          </w:tcPr>
          <w:p w14:paraId="7A6FFE0A" w14:textId="77777777" w:rsidR="00EE3DEC" w:rsidRPr="002E047E" w:rsidRDefault="00EE3DEC" w:rsidP="001351F2">
            <w:pPr>
              <w:rPr>
                <w:rFonts w:ascii="Arial" w:hAnsi="Arial" w:cs="Arial"/>
              </w:rPr>
            </w:pPr>
            <w:r>
              <w:rPr>
                <w:rFonts w:ascii="Arial" w:hAnsi="Arial" w:cs="Arial"/>
              </w:rPr>
              <w:t>SaskTel</w:t>
            </w:r>
          </w:p>
        </w:tc>
        <w:tc>
          <w:tcPr>
            <w:tcW w:w="6803" w:type="dxa"/>
          </w:tcPr>
          <w:p w14:paraId="3571CF21" w14:textId="77777777" w:rsidR="00EE3DEC" w:rsidRDefault="00EE3DEC" w:rsidP="001351F2">
            <w:pPr>
              <w:rPr>
                <w:rFonts w:ascii="Arial" w:hAnsi="Arial" w:cs="Arial"/>
              </w:rPr>
            </w:pPr>
            <w:r>
              <w:rPr>
                <w:rFonts w:ascii="Arial" w:hAnsi="Arial" w:cs="Arial"/>
              </w:rPr>
              <w:t>Garey Schlecter</w:t>
            </w:r>
          </w:p>
          <w:p w14:paraId="6A23E473" w14:textId="77777777" w:rsidR="00EE3DEC" w:rsidRPr="002E047E" w:rsidRDefault="00EE3DEC" w:rsidP="001351F2">
            <w:pPr>
              <w:rPr>
                <w:rFonts w:ascii="Arial" w:hAnsi="Arial" w:cs="Arial"/>
              </w:rPr>
            </w:pPr>
            <w:r>
              <w:rPr>
                <w:rFonts w:ascii="Arial" w:hAnsi="Arial" w:cs="Arial"/>
              </w:rPr>
              <w:t>Mark Miles</w:t>
            </w:r>
          </w:p>
        </w:tc>
      </w:tr>
      <w:tr w:rsidR="00EE3DEC" w14:paraId="4A9963C3" w14:textId="77777777" w:rsidTr="007A2CD5">
        <w:tc>
          <w:tcPr>
            <w:tcW w:w="2547" w:type="dxa"/>
          </w:tcPr>
          <w:p w14:paraId="62948BD0" w14:textId="77777777" w:rsidR="00EE3DEC" w:rsidRDefault="00EE3DEC" w:rsidP="001351F2">
            <w:pPr>
              <w:rPr>
                <w:rFonts w:ascii="Arial" w:hAnsi="Arial" w:cs="Arial"/>
              </w:rPr>
            </w:pPr>
            <w:r>
              <w:rPr>
                <w:rFonts w:ascii="Arial" w:hAnsi="Arial" w:cs="Arial"/>
              </w:rPr>
              <w:t>Shaw</w:t>
            </w:r>
          </w:p>
        </w:tc>
        <w:tc>
          <w:tcPr>
            <w:tcW w:w="6803" w:type="dxa"/>
          </w:tcPr>
          <w:p w14:paraId="77C48E70" w14:textId="77777777" w:rsidR="00EE3DEC" w:rsidRDefault="00EE3DEC" w:rsidP="001351F2">
            <w:pPr>
              <w:rPr>
                <w:rFonts w:ascii="Arial" w:hAnsi="Arial" w:cs="Arial"/>
              </w:rPr>
            </w:pPr>
            <w:r>
              <w:rPr>
                <w:rFonts w:ascii="Arial" w:hAnsi="Arial" w:cs="Arial"/>
              </w:rPr>
              <w:t>Graham LeGeyt</w:t>
            </w:r>
          </w:p>
        </w:tc>
      </w:tr>
      <w:tr w:rsidR="000D354B" w14:paraId="1A14F191" w14:textId="77777777" w:rsidTr="007A2CD5">
        <w:tc>
          <w:tcPr>
            <w:tcW w:w="2547" w:type="dxa"/>
          </w:tcPr>
          <w:p w14:paraId="7994FA17" w14:textId="77777777" w:rsidR="000D354B" w:rsidRPr="00EE3DEC" w:rsidRDefault="000D354B" w:rsidP="001351F2">
            <w:pPr>
              <w:rPr>
                <w:rFonts w:ascii="Arial" w:hAnsi="Arial" w:cs="Arial"/>
              </w:rPr>
            </w:pPr>
            <w:r w:rsidRPr="00EE3DEC">
              <w:rPr>
                <w:rFonts w:ascii="Arial" w:hAnsi="Arial" w:cs="Arial"/>
              </w:rPr>
              <w:t>TELUS</w:t>
            </w:r>
          </w:p>
        </w:tc>
        <w:tc>
          <w:tcPr>
            <w:tcW w:w="6803" w:type="dxa"/>
          </w:tcPr>
          <w:p w14:paraId="634B44C8" w14:textId="77777777" w:rsidR="000D354B" w:rsidRPr="00EE3DEC" w:rsidRDefault="000D354B" w:rsidP="001351F2">
            <w:pPr>
              <w:rPr>
                <w:rFonts w:ascii="Arial" w:hAnsi="Arial" w:cs="Arial"/>
              </w:rPr>
            </w:pPr>
            <w:r w:rsidRPr="00EE3DEC">
              <w:rPr>
                <w:rFonts w:ascii="Arial" w:hAnsi="Arial" w:cs="Arial"/>
              </w:rPr>
              <w:t xml:space="preserve">Martin Laroche </w:t>
            </w:r>
          </w:p>
          <w:p w14:paraId="599A9362" w14:textId="77777777" w:rsidR="000D354B" w:rsidRPr="00EE3DEC" w:rsidRDefault="000D354B" w:rsidP="001351F2">
            <w:pPr>
              <w:rPr>
                <w:rFonts w:ascii="Arial" w:hAnsi="Arial" w:cs="Arial"/>
              </w:rPr>
            </w:pPr>
            <w:r w:rsidRPr="00EE3DEC">
              <w:rPr>
                <w:rFonts w:ascii="Arial" w:hAnsi="Arial" w:cs="Arial"/>
              </w:rPr>
              <w:t>Richard Polishak</w:t>
            </w:r>
          </w:p>
        </w:tc>
      </w:tr>
      <w:tr w:rsidR="000D354B" w14:paraId="5F09E8D9" w14:textId="77777777" w:rsidTr="007A2CD5">
        <w:tc>
          <w:tcPr>
            <w:tcW w:w="2547" w:type="dxa"/>
          </w:tcPr>
          <w:p w14:paraId="30840EC9" w14:textId="77777777" w:rsidR="000D354B" w:rsidRPr="00B33BD9" w:rsidRDefault="000D354B" w:rsidP="001351F2">
            <w:pPr>
              <w:rPr>
                <w:rFonts w:ascii="Arial" w:hAnsi="Arial" w:cs="Arial"/>
                <w:highlight w:val="green"/>
              </w:rPr>
            </w:pPr>
            <w:proofErr w:type="spellStart"/>
            <w:r w:rsidRPr="000D354B">
              <w:rPr>
                <w:rFonts w:ascii="Arial" w:hAnsi="Arial" w:cs="Arial"/>
              </w:rPr>
              <w:t>TekSavvy</w:t>
            </w:r>
            <w:proofErr w:type="spellEnd"/>
          </w:p>
        </w:tc>
        <w:tc>
          <w:tcPr>
            <w:tcW w:w="6803" w:type="dxa"/>
          </w:tcPr>
          <w:p w14:paraId="5537F6F5" w14:textId="77777777" w:rsidR="000D354B" w:rsidRPr="00B33BD9" w:rsidRDefault="000D354B" w:rsidP="001351F2">
            <w:pPr>
              <w:rPr>
                <w:rFonts w:ascii="Arial" w:hAnsi="Arial" w:cs="Arial"/>
                <w:highlight w:val="green"/>
              </w:rPr>
            </w:pPr>
            <w:r w:rsidRPr="00B242D8">
              <w:rPr>
                <w:rFonts w:ascii="Arial" w:hAnsi="Arial" w:cs="Arial"/>
              </w:rPr>
              <w:t xml:space="preserve">Diane Dolan </w:t>
            </w:r>
          </w:p>
        </w:tc>
      </w:tr>
      <w:tr w:rsidR="00797EA5" w14:paraId="2B45E786" w14:textId="77777777" w:rsidTr="007A2CD5">
        <w:tc>
          <w:tcPr>
            <w:tcW w:w="2547" w:type="dxa"/>
          </w:tcPr>
          <w:p w14:paraId="1A36B07D" w14:textId="77777777" w:rsidR="00797EA5" w:rsidRPr="00646EEC" w:rsidRDefault="00797EA5" w:rsidP="001351F2">
            <w:pPr>
              <w:rPr>
                <w:rFonts w:ascii="Arial" w:hAnsi="Arial" w:cs="Arial"/>
              </w:rPr>
            </w:pPr>
            <w:r w:rsidRPr="00646EEC">
              <w:rPr>
                <w:rFonts w:ascii="Arial" w:hAnsi="Arial" w:cs="Arial"/>
              </w:rPr>
              <w:t>Independent</w:t>
            </w:r>
          </w:p>
        </w:tc>
        <w:tc>
          <w:tcPr>
            <w:tcW w:w="6803" w:type="dxa"/>
          </w:tcPr>
          <w:p w14:paraId="3F1D7537" w14:textId="77777777" w:rsidR="00797EA5" w:rsidRPr="00646EEC" w:rsidRDefault="00797EA5" w:rsidP="001351F2">
            <w:pPr>
              <w:rPr>
                <w:rFonts w:ascii="Arial" w:hAnsi="Arial" w:cs="Arial"/>
              </w:rPr>
            </w:pPr>
            <w:r w:rsidRPr="00646EEC">
              <w:rPr>
                <w:rFonts w:ascii="Arial" w:hAnsi="Arial" w:cs="Arial"/>
              </w:rPr>
              <w:t>Karen Robinson</w:t>
            </w:r>
          </w:p>
          <w:p w14:paraId="68269598" w14:textId="77777777" w:rsidR="00797EA5" w:rsidRPr="004E0342" w:rsidRDefault="00797EA5" w:rsidP="001351F2">
            <w:pPr>
              <w:rPr>
                <w:rFonts w:ascii="Arial" w:hAnsi="Arial" w:cs="Arial"/>
              </w:rPr>
            </w:pPr>
            <w:r w:rsidRPr="004E0342">
              <w:rPr>
                <w:rFonts w:ascii="Arial" w:hAnsi="Arial" w:cs="Arial"/>
              </w:rPr>
              <w:t>Gerry Thompson – TIF 43 sponsor, NTCO0729</w:t>
            </w:r>
          </w:p>
        </w:tc>
      </w:tr>
    </w:tbl>
    <w:p w14:paraId="33CFCA76" w14:textId="77777777" w:rsidR="000D354B" w:rsidRDefault="000D354B" w:rsidP="001351F2">
      <w:pPr>
        <w:rPr>
          <w:rFonts w:ascii="Arial" w:hAnsi="Arial"/>
        </w:rPr>
      </w:pPr>
    </w:p>
    <w:p w14:paraId="4596CEFC" w14:textId="77777777" w:rsidR="00021A1F" w:rsidRDefault="00021A1F" w:rsidP="001351F2">
      <w:pPr>
        <w:rPr>
          <w:rFonts w:ascii="Arial" w:hAnsi="Arial"/>
        </w:rPr>
      </w:pPr>
    </w:p>
    <w:p w14:paraId="458F6347" w14:textId="77777777" w:rsidR="00751608" w:rsidRPr="00B41BA4" w:rsidRDefault="00640018" w:rsidP="00D1680C">
      <w:pPr>
        <w:jc w:val="center"/>
        <w:rPr>
          <w:rFonts w:ascii="Arial" w:hAnsi="Arial" w:cs="Arial"/>
        </w:rPr>
      </w:pPr>
      <w:r w:rsidRPr="00055B44">
        <w:rPr>
          <w:rFonts w:ascii="Arial" w:hAnsi="Arial"/>
          <w:b/>
          <w:bCs/>
        </w:rPr>
        <w:t>*** END OF DOCUMENT ***</w:t>
      </w:r>
    </w:p>
    <w:sectPr w:rsidR="00751608" w:rsidRPr="00B41BA4" w:rsidSect="00E6666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47A2" w14:textId="77777777" w:rsidR="00E66668" w:rsidRDefault="00E66668" w:rsidP="00EA28A4">
      <w:pPr>
        <w:spacing w:after="0" w:line="240" w:lineRule="auto"/>
      </w:pPr>
      <w:r>
        <w:separator/>
      </w:r>
    </w:p>
  </w:endnote>
  <w:endnote w:type="continuationSeparator" w:id="0">
    <w:p w14:paraId="1A7C21B6" w14:textId="77777777" w:rsidR="00E66668" w:rsidRDefault="00E66668" w:rsidP="00EA28A4">
      <w:pPr>
        <w:spacing w:after="0" w:line="240" w:lineRule="auto"/>
      </w:pPr>
      <w:r>
        <w:continuationSeparator/>
      </w:r>
    </w:p>
  </w:endnote>
  <w:endnote w:type="continuationNotice" w:id="1">
    <w:p w14:paraId="75E51D39" w14:textId="77777777" w:rsidR="00E66668" w:rsidRDefault="00E66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ptos Narrow">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375100"/>
      <w:docPartObj>
        <w:docPartGallery w:val="Page Numbers (Bottom of Page)"/>
        <w:docPartUnique/>
      </w:docPartObj>
    </w:sdtPr>
    <w:sdtEndPr>
      <w:rPr>
        <w:noProof/>
      </w:rPr>
    </w:sdtEndPr>
    <w:sdtContent>
      <w:p w14:paraId="19012EC6" w14:textId="1F98FB06" w:rsidR="002B78D9" w:rsidRDefault="002B78D9">
        <w:pPr>
          <w:pStyle w:val="Footer"/>
          <w:jc w:val="right"/>
        </w:pPr>
        <w:r>
          <w:fldChar w:fldCharType="begin"/>
        </w:r>
        <w:r>
          <w:instrText xml:space="preserve"> PAGE   \* MERGEFORMAT </w:instrText>
        </w:r>
        <w:r>
          <w:fldChar w:fldCharType="separate"/>
        </w:r>
        <w:r w:rsidR="00280C28">
          <w:rPr>
            <w:noProof/>
          </w:rPr>
          <w:t>19</w:t>
        </w:r>
        <w:r>
          <w:rPr>
            <w:noProof/>
          </w:rPr>
          <w:fldChar w:fldCharType="end"/>
        </w:r>
      </w:p>
    </w:sdtContent>
  </w:sdt>
  <w:p w14:paraId="5D6C291C" w14:textId="77777777" w:rsidR="002B78D9" w:rsidRDefault="002B7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15827"/>
      <w:docPartObj>
        <w:docPartGallery w:val="Page Numbers (Bottom of Page)"/>
        <w:docPartUnique/>
      </w:docPartObj>
    </w:sdtPr>
    <w:sdtEndPr>
      <w:rPr>
        <w:noProof/>
      </w:rPr>
    </w:sdtEndPr>
    <w:sdtContent>
      <w:p w14:paraId="466DECC6" w14:textId="3C71F664" w:rsidR="002B78D9" w:rsidRDefault="002B78D9">
        <w:pPr>
          <w:pStyle w:val="FootnoteText"/>
          <w:jc w:val="right"/>
        </w:pPr>
        <w:r>
          <w:fldChar w:fldCharType="begin"/>
        </w:r>
        <w:r>
          <w:instrText xml:space="preserve"> PAGE   \* MERGEFORMAT </w:instrText>
        </w:r>
        <w:r>
          <w:fldChar w:fldCharType="separate"/>
        </w:r>
        <w:r w:rsidR="00280C28">
          <w:rPr>
            <w:noProof/>
          </w:rPr>
          <w:t>1</w:t>
        </w:r>
        <w:r>
          <w:rPr>
            <w:noProof/>
          </w:rPr>
          <w:fldChar w:fldCharType="end"/>
        </w:r>
      </w:p>
    </w:sdtContent>
  </w:sdt>
  <w:p w14:paraId="02214BF7" w14:textId="77777777" w:rsidR="002B78D9" w:rsidRDefault="002B78D9">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EF91" w14:textId="77777777" w:rsidR="00E66668" w:rsidRDefault="00E66668" w:rsidP="00EA28A4">
      <w:pPr>
        <w:spacing w:after="0" w:line="240" w:lineRule="auto"/>
      </w:pPr>
      <w:r>
        <w:separator/>
      </w:r>
    </w:p>
  </w:footnote>
  <w:footnote w:type="continuationSeparator" w:id="0">
    <w:p w14:paraId="79B2EDEB" w14:textId="77777777" w:rsidR="00E66668" w:rsidRDefault="00E66668" w:rsidP="00EA28A4">
      <w:pPr>
        <w:spacing w:after="0" w:line="240" w:lineRule="auto"/>
      </w:pPr>
      <w:r>
        <w:continuationSeparator/>
      </w:r>
    </w:p>
  </w:footnote>
  <w:footnote w:type="continuationNotice" w:id="1">
    <w:p w14:paraId="1AADE6F3" w14:textId="77777777" w:rsidR="00E66668" w:rsidRDefault="00E66668">
      <w:pPr>
        <w:spacing w:after="0" w:line="240" w:lineRule="auto"/>
      </w:pPr>
    </w:p>
  </w:footnote>
  <w:footnote w:id="2">
    <w:p w14:paraId="5AF62602" w14:textId="3A02F960" w:rsidR="002B78D9" w:rsidRDefault="002B78D9" w:rsidP="00E60055">
      <w:pPr>
        <w:pStyle w:val="FootnoteText"/>
      </w:pPr>
      <w:r>
        <w:rPr>
          <w:rStyle w:val="FootnoteReference"/>
        </w:rPr>
        <w:footnoteRef/>
      </w:r>
      <w:r>
        <w:t xml:space="preserve"> </w:t>
      </w:r>
      <w:hyperlink r:id="rId1" w:anchor=":~:text=These%20countries%20include%20the%20United,Lucia%2C%20St." w:history="1">
        <w:proofErr w:type="gramStart"/>
        <w:r>
          <w:rPr>
            <w:rStyle w:val="Hyperlink"/>
          </w:rPr>
          <w:t>NANPA :</w:t>
        </w:r>
        <w:proofErr w:type="gramEnd"/>
        <w:r>
          <w:rPr>
            <w:rStyle w:val="Hyperlink"/>
          </w:rPr>
          <w:t xml:space="preserve"> North American Numbering Plan Administration - About Us (nationalnanpa.com)</w:t>
        </w:r>
      </w:hyperlink>
    </w:p>
  </w:footnote>
  <w:footnote w:id="3">
    <w:p w14:paraId="301D0C18" w14:textId="77777777" w:rsidR="002B78D9" w:rsidRDefault="002B78D9" w:rsidP="00E60055">
      <w:pPr>
        <w:pStyle w:val="FootnoteText"/>
      </w:pPr>
      <w:r>
        <w:rPr>
          <w:rStyle w:val="FootnoteReference"/>
        </w:rPr>
        <w:footnoteRef/>
      </w:r>
      <w:r>
        <w:t xml:space="preserve"> </w:t>
      </w:r>
      <w:hyperlink r:id="rId2" w:history="1">
        <w:r>
          <w:rPr>
            <w:rStyle w:val="Hyperlink"/>
          </w:rPr>
          <w:t>E.164 : The international public telecommunication numbering plan (itu.int)</w:t>
        </w:r>
      </w:hyperlink>
    </w:p>
    <w:p w14:paraId="6565C7BD" w14:textId="77777777" w:rsidR="002B78D9" w:rsidRDefault="002B78D9" w:rsidP="00E60055">
      <w:pPr>
        <w:pStyle w:val="FootnoteText"/>
      </w:pPr>
    </w:p>
  </w:footnote>
  <w:footnote w:id="4">
    <w:p w14:paraId="50ECAA1A" w14:textId="4A538797" w:rsidR="002B78D9" w:rsidRDefault="002B78D9" w:rsidP="00F95DEC">
      <w:pPr>
        <w:pStyle w:val="FootnoteText"/>
      </w:pPr>
      <w:r>
        <w:rPr>
          <w:rStyle w:val="FootnoteReference"/>
        </w:rPr>
        <w:footnoteRef/>
      </w:r>
      <w:r>
        <w:t xml:space="preserve"> </w:t>
      </w:r>
      <w:hyperlink r:id="rId3" w:history="1">
        <w:r>
          <w:rPr>
            <w:rStyle w:val="Hyperlink"/>
          </w:rPr>
          <w:t>Microsoft Word - Canadian_Numbering_and_Dialling_Plan_2022-04-13.doc (cnac.ca)</w:t>
        </w:r>
      </w:hyperlink>
    </w:p>
  </w:footnote>
  <w:footnote w:id="5">
    <w:p w14:paraId="04C0EBDF" w14:textId="69D68E1F" w:rsidR="002B78D9" w:rsidRDefault="002B78D9">
      <w:pPr>
        <w:pStyle w:val="FootnoteText"/>
      </w:pPr>
      <w:r>
        <w:rPr>
          <w:rStyle w:val="FootnoteReference"/>
        </w:rPr>
        <w:footnoteRef/>
      </w:r>
      <w:r>
        <w:t xml:space="preserve"> </w:t>
      </w:r>
      <w:hyperlink r:id="rId4" w:history="1">
        <w:r>
          <w:rPr>
            <w:rStyle w:val="Hyperlink"/>
          </w:rPr>
          <w:t>CNA - Numbering Resource Utilization Forecast (cnac.ca)</w:t>
        </w:r>
      </w:hyperlink>
    </w:p>
  </w:footnote>
  <w:footnote w:id="6">
    <w:p w14:paraId="4E831627" w14:textId="3A43FC42" w:rsidR="002B78D9" w:rsidRDefault="002B78D9">
      <w:pPr>
        <w:pStyle w:val="FootnoteText"/>
      </w:pPr>
      <w:r>
        <w:rPr>
          <w:rStyle w:val="FootnoteReference"/>
        </w:rPr>
        <w:footnoteRef/>
      </w:r>
      <w:r>
        <w:t xml:space="preserve"> </w:t>
      </w:r>
      <w:r w:rsidRPr="00B3137D">
        <w:rPr>
          <w:rStyle w:val="ui-provider"/>
        </w:rPr>
        <w:t xml:space="preserve">NANPA 2022 Annual Report: </w:t>
      </w:r>
      <w:hyperlink r:id="rId5" w:tgtFrame="_blank" w:tooltip="https://nationalnanpa.com/reports/2022_nanpa_annual_report.pdf" w:history="1">
        <w:r w:rsidRPr="00B3137D">
          <w:rPr>
            <w:rStyle w:val="Hyperlink"/>
          </w:rPr>
          <w:t>https://nationalnanpa.com/reports/2022_NANPA_Annual_Report.pdf</w:t>
        </w:r>
      </w:hyperlink>
    </w:p>
  </w:footnote>
  <w:footnote w:id="7">
    <w:p w14:paraId="15F5C849" w14:textId="008CBB48" w:rsidR="002B78D9" w:rsidRDefault="002B78D9" w:rsidP="000004C5">
      <w:pPr>
        <w:pStyle w:val="FootnoteText"/>
      </w:pPr>
      <w:r>
        <w:rPr>
          <w:rStyle w:val="FootnoteReference"/>
        </w:rPr>
        <w:footnoteRef/>
      </w:r>
      <w:r>
        <w:t xml:space="preserve"> </w:t>
      </w:r>
      <w:hyperlink r:id="rId6" w:history="1">
        <w:r>
          <w:rPr>
            <w:rStyle w:val="Hyperlink"/>
          </w:rPr>
          <w:t>April 2022 NANP Exhaust Analysis (nationalnanpa.com)</w:t>
        </w:r>
      </w:hyperlink>
      <w:r w:rsidRPr="001038CF">
        <w:rPr>
          <w:rStyle w:val="Hyperlink"/>
          <w:color w:val="auto"/>
          <w:u w:val="none"/>
        </w:rPr>
        <w:t xml:space="preserve">  The </w:t>
      </w:r>
      <w:r>
        <w:rPr>
          <w:rStyle w:val="Hyperlink"/>
          <w:color w:val="auto"/>
          <w:u w:val="none"/>
        </w:rPr>
        <w:t>analysis predicts exhaust between 2045 and 2051.  This report uses 2051 as a latest relief date expected from NANPE.</w:t>
      </w:r>
    </w:p>
  </w:footnote>
  <w:footnote w:id="8">
    <w:p w14:paraId="63493D04" w14:textId="00867618" w:rsidR="002B78D9" w:rsidRDefault="002B78D9" w:rsidP="000004C5">
      <w:pPr>
        <w:pStyle w:val="FootnoteText"/>
      </w:pPr>
      <w:r>
        <w:rPr>
          <w:rStyle w:val="FootnoteReference"/>
        </w:rPr>
        <w:footnoteRef/>
      </w:r>
      <w:r>
        <w:t xml:space="preserve"> </w:t>
      </w:r>
      <w:hyperlink r:id="rId7" w:history="1">
        <w:r w:rsidRPr="00ED3648">
          <w:rPr>
            <w:rStyle w:val="Hyperlink"/>
          </w:rPr>
          <w:t>https://www.atis.org/committees-forums/inc/documents/</w:t>
        </w:r>
      </w:hyperlink>
    </w:p>
  </w:footnote>
  <w:footnote w:id="9">
    <w:p w14:paraId="0BB6BD57" w14:textId="77777777" w:rsidR="002B78D9" w:rsidRPr="001038CF" w:rsidRDefault="002B78D9">
      <w:pPr>
        <w:pStyle w:val="FootnoteText"/>
        <w:rPr>
          <w:lang w:val="en-US"/>
        </w:rPr>
      </w:pPr>
      <w:r>
        <w:rPr>
          <w:rStyle w:val="FootnoteReference"/>
        </w:rPr>
        <w:footnoteRef/>
      </w:r>
      <w:r>
        <w:t xml:space="preserve"> </w:t>
      </w:r>
      <w:r>
        <w:rPr>
          <w:lang w:val="en-US"/>
        </w:rPr>
        <w:t>“Digit detection” is the act of assigning a specific number to a specific position in the numbering sequence, e.g., zero in the fourth or “D” digit, to indicate to telecommunications systems that the numbering sequence is other than the standard NANP 1+10 digits.  “Digit unlocking” is the act of removing the specific number restriction from a specific position in the numbering sequence.  With respect to NANPE, unlocking the D digit would mean permitting any number from 0-9 in the 4</w:t>
      </w:r>
      <w:r w:rsidRPr="00131700">
        <w:rPr>
          <w:vertAlign w:val="superscript"/>
          <w:lang w:val="en-US"/>
        </w:rPr>
        <w:t>th</w:t>
      </w:r>
      <w:r>
        <w:rPr>
          <w:lang w:val="en-US"/>
        </w:rPr>
        <w:t xml:space="preserve"> digit. </w:t>
      </w:r>
    </w:p>
  </w:footnote>
  <w:footnote w:id="10">
    <w:p w14:paraId="63DA0C8B" w14:textId="08E1BE67" w:rsidR="002B78D9" w:rsidRDefault="002B78D9" w:rsidP="00565177">
      <w:pPr>
        <w:pStyle w:val="FootnoteText"/>
      </w:pPr>
      <w:r>
        <w:rPr>
          <w:rStyle w:val="FootnoteReference"/>
        </w:rPr>
        <w:footnoteRef/>
      </w:r>
      <w:r>
        <w:t xml:space="preserve"> </w:t>
      </w:r>
      <w:hyperlink r:id="rId8" w:history="1">
        <w:r>
          <w:rPr>
            <w:rStyle w:val="Hyperlink"/>
          </w:rPr>
          <w:t>Internet of Things [IoT] Market Size, Share &amp; Trends, 2029 (fortunebusinessinsights.com)</w:t>
        </w:r>
      </w:hyperlink>
    </w:p>
  </w:footnote>
  <w:footnote w:id="11">
    <w:p w14:paraId="4B44D665" w14:textId="4015AE59" w:rsidR="002B78D9" w:rsidRPr="00BB3C34" w:rsidRDefault="002B78D9" w:rsidP="00E93755">
      <w:pPr>
        <w:pStyle w:val="FootnoteText"/>
        <w:jc w:val="both"/>
        <w:rPr>
          <w:rFonts w:cstheme="minorHAnsi"/>
        </w:rPr>
      </w:pPr>
      <w:r>
        <w:rPr>
          <w:rStyle w:val="FootnoteReference"/>
        </w:rPr>
        <w:footnoteRef/>
      </w:r>
      <w:r>
        <w:t xml:space="preserve"> </w:t>
      </w:r>
      <w:r w:rsidRPr="00E93755">
        <w:rPr>
          <w:rFonts w:cstheme="minorHAnsi"/>
        </w:rPr>
        <w:t>Some Voice over IP (VoIP) technology-based voice services are assigned geographic telephone numbers however they may be located far from the telephone number’s geographic ILEC exchange assignment due to the reach of IP networks such as the Internet.  In this case of distant VoIP, the service provider must make special accommodations to provide location-based services such as 9-1-1 to the distant VoIP subscriber.</w:t>
      </w:r>
    </w:p>
  </w:footnote>
  <w:footnote w:id="12">
    <w:p w14:paraId="2AE1CFF6" w14:textId="1B198B06" w:rsidR="002B78D9" w:rsidRDefault="002B78D9" w:rsidP="00490098">
      <w:pPr>
        <w:pStyle w:val="FootnoteText"/>
      </w:pPr>
      <w:r w:rsidRPr="00BB3C34">
        <w:rPr>
          <w:rStyle w:val="FootnoteReference"/>
          <w:rFonts w:cstheme="minorHAnsi"/>
        </w:rPr>
        <w:footnoteRef/>
      </w:r>
      <w:r w:rsidRPr="00BB3C34">
        <w:rPr>
          <w:rFonts w:cstheme="minorHAnsi"/>
        </w:rPr>
        <w:t xml:space="preserve"> </w:t>
      </w:r>
      <w:hyperlink r:id="rId9" w:history="1">
        <w:r w:rsidRPr="00BB3C34">
          <w:rPr>
            <w:rStyle w:val="Hyperlink"/>
            <w:rFonts w:cstheme="minorHAnsi"/>
          </w:rPr>
          <w:t>Telecom Decision CRTC 2015-4 | CRTC</w:t>
        </w:r>
      </w:hyperlink>
    </w:p>
  </w:footnote>
  <w:footnote w:id="13">
    <w:p w14:paraId="2DE8B663" w14:textId="07C7041B" w:rsidR="002B78D9" w:rsidRDefault="002B78D9" w:rsidP="00490098">
      <w:pPr>
        <w:pStyle w:val="FootnoteText"/>
      </w:pPr>
      <w:r>
        <w:rPr>
          <w:rStyle w:val="FootnoteReference"/>
        </w:rPr>
        <w:footnoteRef/>
      </w:r>
      <w:r>
        <w:t xml:space="preserve"> See “Non-Geographic Code Assignment Guideline” and other related information at </w:t>
      </w:r>
      <w:hyperlink r:id="rId10" w:history="1">
        <w:r>
          <w:rPr>
            <w:rStyle w:val="Hyperlink"/>
          </w:rPr>
          <w:t>CNA - Non-Geographic (6YY) Code Assignment Guideline (cnac.ca)</w:t>
        </w:r>
      </w:hyperlink>
      <w:r>
        <w:rPr>
          <w:rStyle w:val="Hyperlink"/>
        </w:rPr>
        <w:t>.</w:t>
      </w:r>
    </w:p>
  </w:footnote>
  <w:footnote w:id="14">
    <w:p w14:paraId="315AEB43" w14:textId="0A48F8E9" w:rsidR="002B78D9" w:rsidRDefault="002B78D9" w:rsidP="005E6AA4">
      <w:pPr>
        <w:pStyle w:val="FootnoteText"/>
      </w:pPr>
      <w:r>
        <w:rPr>
          <w:rStyle w:val="FootnoteReference"/>
        </w:rPr>
        <w:footnoteRef/>
      </w:r>
      <w:r>
        <w:t xml:space="preserve"> See section </w:t>
      </w:r>
      <w:r w:rsidR="003E438C">
        <w:t>3.1</w:t>
      </w:r>
      <w:r>
        <w:t>.</w:t>
      </w:r>
    </w:p>
  </w:footnote>
  <w:footnote w:id="15">
    <w:p w14:paraId="08004428" w14:textId="09780EAC" w:rsidR="002B78D9" w:rsidRDefault="002B78D9">
      <w:pPr>
        <w:pStyle w:val="FootnoteText"/>
      </w:pPr>
      <w:r>
        <w:rPr>
          <w:rStyle w:val="FootnoteReference"/>
        </w:rPr>
        <w:footnoteRef/>
      </w:r>
      <w:r>
        <w:t xml:space="preserve"> CNCO208A can be found at </w:t>
      </w:r>
      <w:hyperlink r:id="rId11" w:history="1">
        <w:r w:rsidRPr="00624CDA">
          <w:rPr>
            <w:rStyle w:val="Hyperlink"/>
          </w:rPr>
          <w:t>CRTC – CSCN Contributions</w:t>
        </w:r>
      </w:hyperlink>
    </w:p>
  </w:footnote>
  <w:footnote w:id="16">
    <w:p w14:paraId="6E87A291" w14:textId="49E78DF9" w:rsidR="002B78D9" w:rsidRPr="00B41BA4" w:rsidRDefault="002B78D9" w:rsidP="00E93755">
      <w:pPr>
        <w:pStyle w:val="FootnoteText"/>
        <w:jc w:val="both"/>
      </w:pPr>
      <w:r w:rsidRPr="00B41BA4">
        <w:rPr>
          <w:rStyle w:val="FootnoteReference"/>
        </w:rPr>
        <w:footnoteRef/>
      </w:r>
      <w:r w:rsidRPr="00B41BA4">
        <w:t xml:space="preserve"> </w:t>
      </w:r>
      <w:r w:rsidRPr="00E93755">
        <w:rPr>
          <w:rFonts w:cs="Arial"/>
        </w:rPr>
        <w:t xml:space="preserve">The Canadian Non-Geographic (6YY) Code Assignment Guideline states that, “Intra-network TNs are TNs that are “not-dialable” from the PSTN and are routed only within the Carrier’s network, e.g., telephone numbers that use NPA 010.”   </w:t>
      </w:r>
      <w:hyperlink r:id="rId12" w:history="1">
        <w:r>
          <w:rPr>
            <w:rStyle w:val="Hyperlink"/>
          </w:rPr>
          <w:t xml:space="preserve">CNA - </w:t>
        </w:r>
        <w:proofErr w:type="gramStart"/>
        <w:r>
          <w:rPr>
            <w:rStyle w:val="Hyperlink"/>
          </w:rPr>
          <w:t>Non-Geographic</w:t>
        </w:r>
        <w:proofErr w:type="gramEnd"/>
        <w:r>
          <w:rPr>
            <w:rStyle w:val="Hyperlink"/>
          </w:rPr>
          <w:t xml:space="preserve"> (6YY) Code Assignment Guideline (crtc.gc.ca)</w:t>
        </w:r>
      </w:hyperlink>
    </w:p>
  </w:footnote>
  <w:footnote w:id="17">
    <w:p w14:paraId="64748E22" w14:textId="77777777" w:rsidR="002B78D9" w:rsidRDefault="002B78D9" w:rsidP="00DF611E">
      <w:pPr>
        <w:pStyle w:val="FootnoteText"/>
      </w:pPr>
      <w:r>
        <w:rPr>
          <w:rStyle w:val="FootnoteReference"/>
        </w:rPr>
        <w:footnoteRef/>
      </w:r>
      <w:r>
        <w:t xml:space="preserve"> </w:t>
      </w:r>
      <w:hyperlink r:id="rId13" w:history="1">
        <w:r>
          <w:rPr>
            <w:rStyle w:val="Hyperlink"/>
          </w:rPr>
          <w:t xml:space="preserve">CNA - ESRD Assignment Guideline </w:t>
        </w:r>
      </w:hyperlink>
      <w:r>
        <w:rPr>
          <w:rStyle w:val="Hyperlink"/>
        </w:rPr>
        <w:t>(</w:t>
      </w:r>
      <w:r w:rsidRPr="00494C83">
        <w:rPr>
          <w:rStyle w:val="Hyperlink"/>
        </w:rPr>
        <w:t>https://cnac.ca/esrd_codes/esrd_codes.htm</w:t>
      </w:r>
      <w:r>
        <w:rPr>
          <w:rStyle w:val="Hyperlink"/>
        </w:rPr>
        <w:t>)</w:t>
      </w:r>
    </w:p>
    <w:p w14:paraId="667D991F" w14:textId="77777777" w:rsidR="002B78D9" w:rsidRDefault="002B78D9" w:rsidP="00DF611E">
      <w:pPr>
        <w:pStyle w:val="FootnoteText"/>
      </w:pPr>
    </w:p>
  </w:footnote>
  <w:footnote w:id="18">
    <w:p w14:paraId="67A923A2" w14:textId="723AC96C" w:rsidR="002B78D9" w:rsidRPr="00A97F16" w:rsidRDefault="002B78D9" w:rsidP="00E82532">
      <w:pPr>
        <w:pStyle w:val="FootnoteText"/>
        <w:rPr>
          <w:lang w:val="en-US"/>
        </w:rPr>
      </w:pPr>
      <w:r>
        <w:rPr>
          <w:rStyle w:val="FootnoteReference"/>
        </w:rPr>
        <w:footnoteRef/>
      </w:r>
      <w:r>
        <w:t xml:space="preserve"> </w:t>
      </w:r>
      <w:hyperlink r:id="rId14" w:history="1">
        <w:r>
          <w:rPr>
            <w:rStyle w:val="Hyperlink"/>
          </w:rPr>
          <w:t>Canadian NPA 600 NXX Code Assignment Guideline</w:t>
        </w:r>
      </w:hyperlink>
      <w:r>
        <w:t xml:space="preserve"> (</w:t>
      </w:r>
      <w:hyperlink r:id="rId15" w:history="1">
        <w:r>
          <w:rPr>
            <w:rStyle w:val="Hyperlink"/>
          </w:rPr>
          <w:t>crtc.gc.ca</w:t>
        </w:r>
      </w:hyperlink>
      <w:r>
        <w:t xml:space="preserve">) </w:t>
      </w:r>
    </w:p>
  </w:footnote>
  <w:footnote w:id="19">
    <w:p w14:paraId="5F3D36F7" w14:textId="15D6A181" w:rsidR="002B78D9" w:rsidRPr="00032519" w:rsidRDefault="002B78D9" w:rsidP="00E82532">
      <w:pPr>
        <w:pStyle w:val="FootnoteText"/>
      </w:pPr>
      <w:r>
        <w:rPr>
          <w:rStyle w:val="FootnoteReference"/>
        </w:rPr>
        <w:footnoteRef/>
      </w:r>
      <w:r w:rsidRPr="00032519">
        <w:t xml:space="preserve"> </w:t>
      </w:r>
      <w:hyperlink r:id="rId16" w:history="1">
        <w:r w:rsidRPr="00032519">
          <w:rPr>
            <w:rStyle w:val="Hyperlink"/>
          </w:rPr>
          <w:t xml:space="preserve">600 NXX Service Access Code (SAC) </w:t>
        </w:r>
      </w:hyperlink>
      <w:r w:rsidRPr="00032519">
        <w:rPr>
          <w:rStyle w:val="Hyperlink"/>
        </w:rPr>
        <w:t xml:space="preserve"> (</w:t>
      </w:r>
      <w:hyperlink r:id="rId17" w:history="1">
        <w:r w:rsidRPr="00032519">
          <w:rPr>
            <w:rStyle w:val="Hyperlink"/>
          </w:rPr>
          <w:t>https://cnac.ca/data/ServiceAccessCode_600.htm</w:t>
        </w:r>
      </w:hyperlink>
      <w:r w:rsidRPr="00032519">
        <w:rPr>
          <w:rStyle w:val="Hyperlink"/>
        </w:rPr>
        <w:t>)</w:t>
      </w:r>
    </w:p>
  </w:footnote>
  <w:footnote w:id="20">
    <w:p w14:paraId="25D01825" w14:textId="0409D37A" w:rsidR="002B78D9" w:rsidRPr="00273AC5" w:rsidRDefault="002B78D9" w:rsidP="00E82532">
      <w:pPr>
        <w:pStyle w:val="FootnoteText"/>
        <w:rPr>
          <w:lang w:val="en-US"/>
        </w:rPr>
      </w:pPr>
      <w:r>
        <w:rPr>
          <w:rStyle w:val="FootnoteReference"/>
        </w:rPr>
        <w:footnoteRef/>
      </w:r>
      <w:r>
        <w:t xml:space="preserve"> </w:t>
      </w:r>
      <w:r>
        <w:rPr>
          <w:lang w:val="en-US"/>
        </w:rPr>
        <w:t>800 NXXs minus “600-555” and “600-911” yields 798 NXXs.</w:t>
      </w:r>
    </w:p>
  </w:footnote>
  <w:footnote w:id="21">
    <w:p w14:paraId="6058E474" w14:textId="19D25949" w:rsidR="002B78D9" w:rsidRPr="00E4781C" w:rsidRDefault="002B78D9" w:rsidP="00E93755">
      <w:pPr>
        <w:pStyle w:val="FootnoteText"/>
        <w:jc w:val="both"/>
        <w:rPr>
          <w:lang w:val="en-US"/>
        </w:rPr>
      </w:pPr>
      <w:r>
        <w:rPr>
          <w:rStyle w:val="FootnoteReference"/>
        </w:rPr>
        <w:footnoteRef/>
      </w:r>
      <w:r>
        <w:t xml:space="preserve"> I</w:t>
      </w:r>
      <w:r w:rsidRPr="007141B7">
        <w:t>n the last 20 years there has only been 1 600 NPA NXX assignment</w:t>
      </w:r>
      <w:r>
        <w:t>,</w:t>
      </w:r>
      <w:r w:rsidRPr="007141B7">
        <w:t xml:space="preserve"> which took place in 2016. There has been no demand since then</w:t>
      </w:r>
      <w:r>
        <w:t>.  (</w:t>
      </w:r>
      <w:r>
        <w:rPr>
          <w:lang w:val="en-US"/>
        </w:rPr>
        <w:t>The 600 NXX assignment listings for Ligado Networks Corp. indicate a date in 2023, but the date is the result of corporate merger and acquisition activity for NPA 600 resources originally assigned in 1994.)</w:t>
      </w:r>
    </w:p>
  </w:footnote>
  <w:footnote w:id="22">
    <w:p w14:paraId="58E2EA3E" w14:textId="3E5F0A39" w:rsidR="002B78D9" w:rsidRPr="001B2701" w:rsidRDefault="002B78D9" w:rsidP="00E82532">
      <w:pPr>
        <w:pStyle w:val="FootnoteText"/>
        <w:rPr>
          <w:lang w:val="en-US"/>
        </w:rPr>
      </w:pPr>
      <w:r>
        <w:rPr>
          <w:rStyle w:val="FootnoteReference"/>
        </w:rPr>
        <w:footnoteRef/>
      </w:r>
      <w:r>
        <w:t xml:space="preserve"> </w:t>
      </w:r>
      <w:hyperlink r:id="rId18" w:history="1">
        <w:r w:rsidRPr="00EA664A">
          <w:rPr>
            <w:rStyle w:val="Hyperlink"/>
            <w:i/>
            <w:iCs/>
          </w:rPr>
          <w:t>Canadian Non-Geographic Code Assignment Guideline</w:t>
        </w:r>
        <w:r w:rsidRPr="00EA664A">
          <w:rPr>
            <w:rStyle w:val="Hyperlink"/>
          </w:rPr>
          <w:t xml:space="preserve"> (crtc.gc.ca)</w:t>
        </w:r>
      </w:hyperlink>
      <w:r>
        <w:t xml:space="preserve"> </w:t>
      </w:r>
    </w:p>
  </w:footnote>
  <w:footnote w:id="23">
    <w:p w14:paraId="59360735" w14:textId="79388329" w:rsidR="00666276" w:rsidRPr="000F35CD" w:rsidRDefault="00666276" w:rsidP="00666276">
      <w:pPr>
        <w:pStyle w:val="FootnoteText"/>
        <w:rPr>
          <w:lang w:val="en-US"/>
        </w:rPr>
      </w:pPr>
      <w:r>
        <w:rPr>
          <w:rStyle w:val="FootnoteReference"/>
        </w:rPr>
        <w:footnoteRef/>
      </w:r>
      <w:r>
        <w:t xml:space="preserve"> </w:t>
      </w:r>
      <w:r>
        <w:rPr>
          <w:lang w:val="en-US"/>
        </w:rPr>
        <w:t>“</w:t>
      </w:r>
      <w:proofErr w:type="gramStart"/>
      <w:r w:rsidRPr="000F35CD">
        <w:rPr>
          <w:lang w:val="en-US"/>
        </w:rPr>
        <w:t>555 line</w:t>
      </w:r>
      <w:proofErr w:type="gramEnd"/>
      <w:r w:rsidRPr="000F35CD">
        <w:rPr>
          <w:lang w:val="en-US"/>
        </w:rPr>
        <w:t xml:space="preserve"> numbers (LNs) were a unique resource assigned on a national or non-national basis for</w:t>
      </w:r>
      <w:r>
        <w:rPr>
          <w:lang w:val="en-US"/>
        </w:rPr>
        <w:t xml:space="preserve"> </w:t>
      </w:r>
    </w:p>
    <w:p w14:paraId="5DB27625" w14:textId="76FF6FDB" w:rsidR="002B78D9" w:rsidRDefault="00666276" w:rsidP="00666276">
      <w:pPr>
        <w:pStyle w:val="FootnoteText"/>
        <w:jc w:val="both"/>
      </w:pPr>
      <w:r w:rsidRPr="000F35CD">
        <w:rPr>
          <w:lang w:val="en-US"/>
        </w:rPr>
        <w:t>public information services.</w:t>
      </w:r>
      <w:r>
        <w:rPr>
          <w:lang w:val="en-US"/>
        </w:rPr>
        <w:t>” A subset (</w:t>
      </w:r>
      <w:r w:rsidRPr="00F6015E">
        <w:rPr>
          <w:lang w:val="en-US"/>
        </w:rPr>
        <w:t>555-0100 to 555-0199</w:t>
      </w:r>
      <w:r>
        <w:rPr>
          <w:lang w:val="en-US"/>
        </w:rPr>
        <w:t xml:space="preserve">) is reserved for use by the television/movie industry and 555-1212 is used for long distance directory assistance. All other 555 line numbers have been reclaimed and the 555 assignment guidelines in Canada and the US have been sunset. </w:t>
      </w:r>
      <w:r w:rsidR="00955FB2">
        <w:rPr>
          <w:lang w:val="en-US"/>
        </w:rPr>
        <w:t>|</w:t>
      </w:r>
      <w:r>
        <w:rPr>
          <w:lang w:val="en-US"/>
        </w:rPr>
        <w:t xml:space="preserve"> </w:t>
      </w:r>
      <w:hyperlink r:id="rId19" w:history="1">
        <w:r w:rsidRPr="00566A98">
          <w:rPr>
            <w:rStyle w:val="Hyperlink"/>
            <w:i/>
            <w:iCs/>
            <w:lang w:val="en-US"/>
          </w:rPr>
          <w:t>Canadian Adjunct to the 555 NXX Line Number Reference Document</w:t>
        </w:r>
        <w:r w:rsidRPr="00566A98">
          <w:rPr>
            <w:rStyle w:val="Hyperlink"/>
            <w:lang w:val="en-US"/>
          </w:rPr>
          <w:t xml:space="preserve"> (crtc.gc.ca)</w:t>
        </w:r>
      </w:hyperlink>
    </w:p>
  </w:footnote>
  <w:footnote w:id="24">
    <w:p w14:paraId="5276363E" w14:textId="7341CE3D" w:rsidR="002B78D9" w:rsidRDefault="002B78D9" w:rsidP="00666276">
      <w:pPr>
        <w:pStyle w:val="FootnoteText"/>
        <w:jc w:val="both"/>
      </w:pPr>
      <w:r>
        <w:rPr>
          <w:rStyle w:val="FootnoteReference"/>
        </w:rPr>
        <w:footnoteRef/>
      </w:r>
      <w:r>
        <w:t xml:space="preserve"> </w:t>
      </w:r>
      <w:r w:rsidRPr="00444F7E">
        <w:t>Generic Public Subscription Identifier (GPSI) is a public identifier that can take different formats and it is used both inside and outside of a 3GPP system. It is needed for addressing a 3GPP subscription in different data networks outside of the 3GPP system. Ref. 3GPP TS 23.003, 3GPP TS 23.501, TS 23.682, IETF RFC 4282</w:t>
      </w:r>
      <w:r>
        <w:t xml:space="preserve"> and </w:t>
      </w:r>
      <w:r w:rsidRPr="00CB303B">
        <w:t xml:space="preserve">shows promise for </w:t>
      </w:r>
      <w:r>
        <w:t>Option 6</w:t>
      </w:r>
      <w:r w:rsidRPr="00CB303B">
        <w:t>.</w:t>
      </w:r>
    </w:p>
  </w:footnote>
  <w:footnote w:id="25">
    <w:p w14:paraId="226B4A2D" w14:textId="77777777" w:rsidR="002B78D9" w:rsidRDefault="002B78D9">
      <w:pPr>
        <w:pStyle w:val="FootnoteText"/>
      </w:pPr>
      <w:r>
        <w:rPr>
          <w:rStyle w:val="FootnoteReference"/>
        </w:rPr>
        <w:footnoteRef/>
      </w:r>
      <w:r>
        <w:t xml:space="preserve"> </w:t>
      </w:r>
      <w:hyperlink r:id="rId20" w:history="1">
        <w:r>
          <w:rPr>
            <w:rStyle w:val="Hyperlink"/>
          </w:rPr>
          <w:t>Working Group Membership Directories | Federal Communications Commission (fcc.gov)</w:t>
        </w:r>
      </w:hyperlink>
    </w:p>
  </w:footnote>
  <w:footnote w:id="26">
    <w:p w14:paraId="48BE9659" w14:textId="67DB0E8B" w:rsidR="002B78D9" w:rsidRDefault="002B78D9" w:rsidP="00D53B25">
      <w:pPr>
        <w:pStyle w:val="FootnoteText"/>
      </w:pPr>
      <w:r>
        <w:rPr>
          <w:rStyle w:val="FootnoteReference"/>
        </w:rPr>
        <w:footnoteRef/>
      </w:r>
      <w:r>
        <w:t xml:space="preserve"> CSCN TIF 112 Serial 6 (2022-Oct-11) and </w:t>
      </w:r>
      <w:hyperlink r:id="rId21" w:history="1">
        <w:r w:rsidRPr="0027215D">
          <w:rPr>
            <w:rStyle w:val="Hyperlink"/>
          </w:rPr>
          <w:t>Numbering: The IoT SIM move to 15 digits</w:t>
        </w:r>
      </w:hyperlink>
      <w:r>
        <w:rPr>
          <w:rStyle w:val="Hyperlink"/>
        </w:rPr>
        <w:t xml:space="preserve"> </w:t>
      </w:r>
      <w:r>
        <w:rPr>
          <w:rStyle w:val="Hyperlink"/>
        </w:rPr>
        <w:t>(</w:t>
      </w:r>
      <w:hyperlink r:id="rId22" w:history="1">
        <w:r w:rsidRPr="00F83543">
          <w:rPr>
            <w:rStyle w:val="Hyperlink"/>
          </w:rPr>
          <w:t>https://www.orange-business.com/en/numbering-iot-sim-move-15-digits</w:t>
        </w:r>
      </w:hyperlink>
      <w:r>
        <w:rPr>
          <w:rStyle w:val="Hyperlink"/>
        </w:rPr>
        <w:t xml:space="preserve">) </w:t>
      </w:r>
    </w:p>
  </w:footnote>
  <w:footnote w:id="27">
    <w:p w14:paraId="529A9EA9" w14:textId="6D3B5FC9" w:rsidR="002B78D9" w:rsidRDefault="002B78D9" w:rsidP="002A2964">
      <w:pPr>
        <w:pStyle w:val="FootnoteText"/>
        <w:jc w:val="both"/>
      </w:pPr>
      <w:r>
        <w:rPr>
          <w:rStyle w:val="FootnoteReference"/>
        </w:rPr>
        <w:footnoteRef/>
      </w:r>
      <w:r>
        <w:t xml:space="preserve"> Too long a block would be wasteful for </w:t>
      </w:r>
      <w:r>
        <w:t>Carriers</w:t>
      </w:r>
      <w:r>
        <w:t xml:space="preserve"> with few devices to support.  Too short a block would be inefficient in terms of assignment and would make it difficult to find large blocks of numbers for very large IoT applications.  </w:t>
      </w:r>
      <w:r w:rsidRPr="000C1FBD">
        <w:t xml:space="preserve">Further, it would be desirable for an extended 6YY code to align with the anticipated NANP Expansion (NANPE) format (e.g., </w:t>
      </w:r>
      <w:r w:rsidRPr="006E33C3">
        <w:t>phase 1: 1-688(0 or 1)-XNXX-XXXX phase 2: 1-688X-XNXX-XXXX).</w:t>
      </w:r>
    </w:p>
  </w:footnote>
  <w:footnote w:id="28">
    <w:p w14:paraId="10C59A6E" w14:textId="77777777" w:rsidR="002B78D9" w:rsidRPr="007A2CD5" w:rsidRDefault="002B78D9">
      <w:pPr>
        <w:pStyle w:val="FootnoteText"/>
        <w:rPr>
          <w:lang w:val="fr-FR"/>
        </w:rPr>
      </w:pPr>
      <w:r>
        <w:rPr>
          <w:rStyle w:val="FootnoteReference"/>
        </w:rPr>
        <w:footnoteRef/>
      </w:r>
      <w:r w:rsidRPr="007A2CD5">
        <w:rPr>
          <w:lang w:val="fr-FR"/>
        </w:rPr>
        <w:t xml:space="preserve"> </w:t>
      </w:r>
      <w:hyperlink r:id="rId23" w:history="1">
        <w:r w:rsidRPr="007A2CD5">
          <w:rPr>
            <w:rStyle w:val="Hyperlink"/>
            <w:lang w:val="fr-FR"/>
          </w:rPr>
          <w:t>CNA - CNA Consortium</w:t>
        </w:r>
      </w:hyperlink>
    </w:p>
  </w:footnote>
  <w:footnote w:id="29">
    <w:p w14:paraId="07C22A0F" w14:textId="77777777" w:rsidR="002B78D9" w:rsidRPr="007A2CD5" w:rsidRDefault="002B78D9">
      <w:pPr>
        <w:pStyle w:val="FootnoteText"/>
        <w:rPr>
          <w:lang w:val="fr-FR"/>
        </w:rPr>
      </w:pPr>
      <w:r>
        <w:rPr>
          <w:rStyle w:val="FootnoteReference"/>
        </w:rPr>
        <w:footnoteRef/>
      </w:r>
      <w:r w:rsidRPr="007A2CD5">
        <w:rPr>
          <w:lang w:val="fr-FR"/>
        </w:rPr>
        <w:t xml:space="preserve"> </w:t>
      </w:r>
      <w:hyperlink r:id="rId24" w:history="1">
        <w:r w:rsidRPr="00307D82">
          <w:rPr>
            <w:rStyle w:val="Hyperlink"/>
            <w:lang w:val="fr-FR"/>
          </w:rPr>
          <w:t>600 NXX Service Access Code (SAC)</w:t>
        </w:r>
      </w:hyperlink>
      <w:r>
        <w:rPr>
          <w:lang w:val="fr-FR"/>
        </w:rPr>
        <w:t xml:space="preserve"> (cnac.ca)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8460" w14:textId="6B5FB665" w:rsidR="002B78D9" w:rsidRDefault="002B78D9" w:rsidP="00A802DE">
    <w:pPr>
      <w:pStyle w:val="Header"/>
      <w:jc w:val="center"/>
    </w:pPr>
    <w:r>
      <w:t xml:space="preserve">CNRE138B - </w:t>
    </w:r>
    <w:r w:rsidRPr="00A802DE">
      <w:t>Non-Geographic 6YY NPA Exhaust Mitigation</w:t>
    </w:r>
  </w:p>
  <w:p w14:paraId="71521DCE" w14:textId="77777777" w:rsidR="002B78D9" w:rsidRDefault="002B78D9" w:rsidP="00DC3D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1DCF" w14:textId="77777777" w:rsidR="002B78D9" w:rsidRDefault="002B7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B4C7" w14:textId="4FAD0BE9" w:rsidR="002B78D9" w:rsidRDefault="002B78D9" w:rsidP="00D30867">
    <w:pPr>
      <w:pStyle w:val="Header"/>
      <w:jc w:val="center"/>
    </w:pPr>
    <w:r>
      <w:t xml:space="preserve">CNRE138B - </w:t>
    </w:r>
    <w:r w:rsidRPr="00A802DE">
      <w:t>Non-Geographic 6YY NPA Exhaust Mitigation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F26"/>
    <w:multiLevelType w:val="multilevel"/>
    <w:tmpl w:val="BCD60190"/>
    <w:lvl w:ilvl="0">
      <w:start w:val="1"/>
      <w:numFmt w:val="decimal"/>
      <w:lvlText w:val="%1."/>
      <w:lvlJc w:val="left"/>
      <w:pPr>
        <w:ind w:left="350" w:hanging="360"/>
      </w:pPr>
    </w:lvl>
    <w:lvl w:ilvl="1">
      <w:start w:val="1"/>
      <w:numFmt w:val="decimal"/>
      <w:lvlText w:val="%1.%2."/>
      <w:lvlJc w:val="left"/>
      <w:pPr>
        <w:ind w:left="706" w:hanging="432"/>
      </w:pPr>
      <w:rPr>
        <w:color w:val="auto"/>
      </w:rPr>
    </w:lvl>
    <w:lvl w:ilvl="2">
      <w:start w:val="1"/>
      <w:numFmt w:val="decimal"/>
      <w:lvlText w:val="%1.%2.%3."/>
      <w:lvlJc w:val="left"/>
      <w:pPr>
        <w:ind w:left="1214" w:hanging="504"/>
      </w:pPr>
    </w:lvl>
    <w:lvl w:ilvl="3">
      <w:start w:val="1"/>
      <w:numFmt w:val="decimal"/>
      <w:lvlText w:val="%1.%2.%3.%4."/>
      <w:lvlJc w:val="left"/>
      <w:pPr>
        <w:ind w:left="1718" w:hanging="648"/>
      </w:pPr>
    </w:lvl>
    <w:lvl w:ilvl="4">
      <w:start w:val="1"/>
      <w:numFmt w:val="decimal"/>
      <w:lvlText w:val="%1.%2.%3.%4.%5."/>
      <w:lvlJc w:val="left"/>
      <w:pPr>
        <w:ind w:left="2222" w:hanging="792"/>
      </w:pPr>
    </w:lvl>
    <w:lvl w:ilvl="5">
      <w:start w:val="1"/>
      <w:numFmt w:val="decimal"/>
      <w:lvlText w:val="%1.%2.%3.%4.%5.%6."/>
      <w:lvlJc w:val="left"/>
      <w:pPr>
        <w:ind w:left="2726" w:hanging="936"/>
      </w:pPr>
    </w:lvl>
    <w:lvl w:ilvl="6">
      <w:start w:val="1"/>
      <w:numFmt w:val="decimal"/>
      <w:lvlText w:val="%1.%2.%3.%4.%5.%6.%7."/>
      <w:lvlJc w:val="left"/>
      <w:pPr>
        <w:ind w:left="3230" w:hanging="1080"/>
      </w:pPr>
    </w:lvl>
    <w:lvl w:ilvl="7">
      <w:start w:val="1"/>
      <w:numFmt w:val="decimal"/>
      <w:lvlText w:val="%1.%2.%3.%4.%5.%6.%7.%8."/>
      <w:lvlJc w:val="left"/>
      <w:pPr>
        <w:ind w:left="3734" w:hanging="1224"/>
      </w:pPr>
    </w:lvl>
    <w:lvl w:ilvl="8">
      <w:start w:val="1"/>
      <w:numFmt w:val="decimal"/>
      <w:lvlText w:val="%1.%2.%3.%4.%5.%6.%7.%8.%9."/>
      <w:lvlJc w:val="left"/>
      <w:pPr>
        <w:ind w:left="4310" w:hanging="1440"/>
      </w:pPr>
    </w:lvl>
  </w:abstractNum>
  <w:abstractNum w:abstractNumId="1" w15:restartNumberingAfterBreak="0">
    <w:nsid w:val="01041F8E"/>
    <w:multiLevelType w:val="hybridMultilevel"/>
    <w:tmpl w:val="85F82536"/>
    <w:lvl w:ilvl="0" w:tplc="10090017">
      <w:start w:val="1"/>
      <w:numFmt w:val="lowerLetter"/>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 w15:restartNumberingAfterBreak="0">
    <w:nsid w:val="016533D8"/>
    <w:multiLevelType w:val="hybridMultilevel"/>
    <w:tmpl w:val="3A180D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42236"/>
    <w:multiLevelType w:val="hybridMultilevel"/>
    <w:tmpl w:val="5D38A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5DE526B"/>
    <w:multiLevelType w:val="hybridMultilevel"/>
    <w:tmpl w:val="226E4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4B10F7"/>
    <w:multiLevelType w:val="hybridMultilevel"/>
    <w:tmpl w:val="255A7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69117B"/>
    <w:multiLevelType w:val="hybridMultilevel"/>
    <w:tmpl w:val="973EB536"/>
    <w:lvl w:ilvl="0" w:tplc="D8F6D94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B7F43"/>
    <w:multiLevelType w:val="hybridMultilevel"/>
    <w:tmpl w:val="1E0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24CD7"/>
    <w:multiLevelType w:val="hybridMultilevel"/>
    <w:tmpl w:val="5DFE3E84"/>
    <w:lvl w:ilvl="0" w:tplc="B7D6162E">
      <w:start w:val="1"/>
      <w:numFmt w:val="decimal"/>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15:restartNumberingAfterBreak="0">
    <w:nsid w:val="0AE47A9F"/>
    <w:multiLevelType w:val="multilevel"/>
    <w:tmpl w:val="F2C291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9C7609"/>
    <w:multiLevelType w:val="multilevel"/>
    <w:tmpl w:val="F93AB16C"/>
    <w:lvl w:ilvl="0">
      <w:start w:val="5"/>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F224A69"/>
    <w:multiLevelType w:val="hybridMultilevel"/>
    <w:tmpl w:val="B0E0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A4D27"/>
    <w:multiLevelType w:val="hybridMultilevel"/>
    <w:tmpl w:val="426C8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BEA1D61"/>
    <w:multiLevelType w:val="hybridMultilevel"/>
    <w:tmpl w:val="B1C09572"/>
    <w:lvl w:ilvl="0" w:tplc="D8F6D944">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4D36F7"/>
    <w:multiLevelType w:val="hybridMultilevel"/>
    <w:tmpl w:val="B5228930"/>
    <w:lvl w:ilvl="0" w:tplc="BE682BE4">
      <w:start w:val="1"/>
      <w:numFmt w:val="decimal"/>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22152EDD"/>
    <w:multiLevelType w:val="hybridMultilevel"/>
    <w:tmpl w:val="143EE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9C587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576A4E"/>
    <w:multiLevelType w:val="hybridMultilevel"/>
    <w:tmpl w:val="EB244B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862C7F"/>
    <w:multiLevelType w:val="hybridMultilevel"/>
    <w:tmpl w:val="22F0ACF2"/>
    <w:lvl w:ilvl="0" w:tplc="EA069BD8">
      <w:start w:val="1"/>
      <w:numFmt w:val="decimal"/>
      <w:lvlText w:val="%1."/>
      <w:lvlJc w:val="left"/>
      <w:pPr>
        <w:ind w:left="927" w:hanging="360"/>
      </w:pPr>
      <w:rPr>
        <w:rFonts w:cstheme="minorBidi"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15:restartNumberingAfterBreak="0">
    <w:nsid w:val="314F5367"/>
    <w:multiLevelType w:val="multilevel"/>
    <w:tmpl w:val="C24C5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55A0447"/>
    <w:multiLevelType w:val="hybridMultilevel"/>
    <w:tmpl w:val="34FAAF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55F3CDB"/>
    <w:multiLevelType w:val="hybridMultilevel"/>
    <w:tmpl w:val="A4803AB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2" w15:restartNumberingAfterBreak="0">
    <w:nsid w:val="36E647B9"/>
    <w:multiLevelType w:val="hybridMultilevel"/>
    <w:tmpl w:val="9A949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704431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FC4BF7"/>
    <w:multiLevelType w:val="hybridMultilevel"/>
    <w:tmpl w:val="0FD0F3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B6C67BC"/>
    <w:multiLevelType w:val="hybridMultilevel"/>
    <w:tmpl w:val="DE806928"/>
    <w:lvl w:ilvl="0" w:tplc="78D274DE">
      <w:start w:val="1"/>
      <w:numFmt w:val="decimal"/>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3E893CDE"/>
    <w:multiLevelType w:val="hybridMultilevel"/>
    <w:tmpl w:val="99609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1A34058"/>
    <w:multiLevelType w:val="hybridMultilevel"/>
    <w:tmpl w:val="7670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757C7"/>
    <w:multiLevelType w:val="multilevel"/>
    <w:tmpl w:val="BCD60190"/>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9873D1"/>
    <w:multiLevelType w:val="hybridMultilevel"/>
    <w:tmpl w:val="D1CE7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E625AE4"/>
    <w:multiLevelType w:val="hybridMultilevel"/>
    <w:tmpl w:val="6162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DD7671"/>
    <w:multiLevelType w:val="hybridMultilevel"/>
    <w:tmpl w:val="0DEEB38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2277553"/>
    <w:multiLevelType w:val="hybridMultilevel"/>
    <w:tmpl w:val="674AF0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74A7318"/>
    <w:multiLevelType w:val="hybridMultilevel"/>
    <w:tmpl w:val="7B607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74B1798"/>
    <w:multiLevelType w:val="hybridMultilevel"/>
    <w:tmpl w:val="C870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0683A"/>
    <w:multiLevelType w:val="hybridMultilevel"/>
    <w:tmpl w:val="ECA89422"/>
    <w:lvl w:ilvl="0" w:tplc="78D274DE">
      <w:start w:val="1"/>
      <w:numFmt w:val="decimal"/>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63A87DF8"/>
    <w:multiLevelType w:val="hybridMultilevel"/>
    <w:tmpl w:val="A90E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512406"/>
    <w:multiLevelType w:val="hybridMultilevel"/>
    <w:tmpl w:val="5E14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6035C2C"/>
    <w:multiLevelType w:val="multilevel"/>
    <w:tmpl w:val="BCD6019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5F0559"/>
    <w:multiLevelType w:val="hybridMultilevel"/>
    <w:tmpl w:val="99B2A93E"/>
    <w:lvl w:ilvl="0" w:tplc="56FA4508">
      <w:start w:val="1"/>
      <w:numFmt w:val="bullet"/>
      <w:lvlText w:val="-"/>
      <w:lvlJc w:val="left"/>
      <w:pPr>
        <w:ind w:left="720" w:hanging="360"/>
      </w:pPr>
      <w:rPr>
        <w:rFonts w:ascii="Arial" w:eastAsiaTheme="minorHAnsi"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78A6B81"/>
    <w:multiLevelType w:val="hybridMultilevel"/>
    <w:tmpl w:val="07CA27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7149D"/>
    <w:multiLevelType w:val="hybridMultilevel"/>
    <w:tmpl w:val="0DEEB38C"/>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F1430E"/>
    <w:multiLevelType w:val="hybridMultilevel"/>
    <w:tmpl w:val="5E4033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3" w15:restartNumberingAfterBreak="0">
    <w:nsid w:val="6D273590"/>
    <w:multiLevelType w:val="multilevel"/>
    <w:tmpl w:val="4BA0B728"/>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6F2C3BF7"/>
    <w:multiLevelType w:val="hybridMultilevel"/>
    <w:tmpl w:val="43B83C3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D85EA1"/>
    <w:multiLevelType w:val="hybridMultilevel"/>
    <w:tmpl w:val="34A4D75A"/>
    <w:lvl w:ilvl="0" w:tplc="CF545C1A">
      <w:start w:val="2"/>
      <w:numFmt w:val="decimal"/>
      <w:lvlText w:val="%1."/>
      <w:lvlJc w:val="left"/>
      <w:pPr>
        <w:ind w:left="10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FD5611"/>
    <w:multiLevelType w:val="hybridMultilevel"/>
    <w:tmpl w:val="398E5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56B5096"/>
    <w:multiLevelType w:val="hybridMultilevel"/>
    <w:tmpl w:val="AD4CBBD8"/>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E85221"/>
    <w:multiLevelType w:val="multilevel"/>
    <w:tmpl w:val="16A891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C32141"/>
    <w:multiLevelType w:val="hybridMultilevel"/>
    <w:tmpl w:val="AD4CBBD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504083209">
    <w:abstractNumId w:val="0"/>
  </w:num>
  <w:num w:numId="2" w16cid:durableId="25061764">
    <w:abstractNumId w:val="43"/>
  </w:num>
  <w:num w:numId="3" w16cid:durableId="1154299095">
    <w:abstractNumId w:val="42"/>
  </w:num>
  <w:num w:numId="4" w16cid:durableId="196893394">
    <w:abstractNumId w:val="15"/>
  </w:num>
  <w:num w:numId="5" w16cid:durableId="1856769010">
    <w:abstractNumId w:val="46"/>
  </w:num>
  <w:num w:numId="6" w16cid:durableId="1482380720">
    <w:abstractNumId w:val="48"/>
  </w:num>
  <w:num w:numId="7" w16cid:durableId="581715603">
    <w:abstractNumId w:val="30"/>
  </w:num>
  <w:num w:numId="8" w16cid:durableId="1068381373">
    <w:abstractNumId w:val="29"/>
  </w:num>
  <w:num w:numId="9" w16cid:durableId="648749731">
    <w:abstractNumId w:val="7"/>
  </w:num>
  <w:num w:numId="10" w16cid:durableId="109664358">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7644474">
    <w:abstractNumId w:val="4"/>
  </w:num>
  <w:num w:numId="12" w16cid:durableId="1244798930">
    <w:abstractNumId w:val="33"/>
  </w:num>
  <w:num w:numId="13" w16cid:durableId="178737944">
    <w:abstractNumId w:val="12"/>
  </w:num>
  <w:num w:numId="14" w16cid:durableId="406921994">
    <w:abstractNumId w:val="3"/>
  </w:num>
  <w:num w:numId="15" w16cid:durableId="1227450055">
    <w:abstractNumId w:val="37"/>
  </w:num>
  <w:num w:numId="16" w16cid:durableId="187257187">
    <w:abstractNumId w:val="17"/>
  </w:num>
  <w:num w:numId="17" w16cid:durableId="2131242960">
    <w:abstractNumId w:val="23"/>
  </w:num>
  <w:num w:numId="18" w16cid:durableId="1896701573">
    <w:abstractNumId w:val="24"/>
  </w:num>
  <w:num w:numId="19" w16cid:durableId="1212572881">
    <w:abstractNumId w:val="16"/>
  </w:num>
  <w:num w:numId="20" w16cid:durableId="1933273337">
    <w:abstractNumId w:val="21"/>
  </w:num>
  <w:num w:numId="21" w16cid:durableId="449278064">
    <w:abstractNumId w:val="1"/>
  </w:num>
  <w:num w:numId="22" w16cid:durableId="1384985277">
    <w:abstractNumId w:val="26"/>
  </w:num>
  <w:num w:numId="23" w16cid:durableId="45090707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0247460">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2702626">
    <w:abstractNumId w:val="19"/>
  </w:num>
  <w:num w:numId="26" w16cid:durableId="1506936812">
    <w:abstractNumId w:val="32"/>
  </w:num>
  <w:num w:numId="27" w16cid:durableId="1701470632">
    <w:abstractNumId w:val="20"/>
  </w:num>
  <w:num w:numId="28" w16cid:durableId="726032084">
    <w:abstractNumId w:val="9"/>
  </w:num>
  <w:num w:numId="29" w16cid:durableId="379475897">
    <w:abstractNumId w:val="5"/>
  </w:num>
  <w:num w:numId="30" w16cid:durableId="890456248">
    <w:abstractNumId w:val="22"/>
  </w:num>
  <w:num w:numId="31" w16cid:durableId="1209031811">
    <w:abstractNumId w:val="44"/>
  </w:num>
  <w:num w:numId="32" w16cid:durableId="188566489">
    <w:abstractNumId w:val="40"/>
  </w:num>
  <w:num w:numId="33" w16cid:durableId="1412433749">
    <w:abstractNumId w:val="2"/>
  </w:num>
  <w:num w:numId="34" w16cid:durableId="1195338934">
    <w:abstractNumId w:val="10"/>
  </w:num>
  <w:num w:numId="35" w16cid:durableId="1640067109">
    <w:abstractNumId w:val="27"/>
  </w:num>
  <w:num w:numId="36" w16cid:durableId="1999457046">
    <w:abstractNumId w:val="34"/>
  </w:num>
  <w:num w:numId="37" w16cid:durableId="1157723165">
    <w:abstractNumId w:val="38"/>
  </w:num>
  <w:num w:numId="38" w16cid:durableId="742874869">
    <w:abstractNumId w:val="13"/>
  </w:num>
  <w:num w:numId="39" w16cid:durableId="2069380281">
    <w:abstractNumId w:val="41"/>
  </w:num>
  <w:num w:numId="40" w16cid:durableId="235824259">
    <w:abstractNumId w:val="47"/>
  </w:num>
  <w:num w:numId="41" w16cid:durableId="480542462">
    <w:abstractNumId w:val="11"/>
  </w:num>
  <w:num w:numId="42" w16cid:durableId="359210382">
    <w:abstractNumId w:val="8"/>
  </w:num>
  <w:num w:numId="43" w16cid:durableId="1247769016">
    <w:abstractNumId w:val="39"/>
  </w:num>
  <w:num w:numId="44" w16cid:durableId="1971394524">
    <w:abstractNumId w:val="28"/>
  </w:num>
  <w:num w:numId="45" w16cid:durableId="1798060225">
    <w:abstractNumId w:val="18"/>
  </w:num>
  <w:num w:numId="46" w16cid:durableId="1963270683">
    <w:abstractNumId w:val="6"/>
  </w:num>
  <w:num w:numId="47" w16cid:durableId="713238108">
    <w:abstractNumId w:val="31"/>
  </w:num>
  <w:num w:numId="48" w16cid:durableId="350838402">
    <w:abstractNumId w:val="49"/>
  </w:num>
  <w:num w:numId="49" w16cid:durableId="477692726">
    <w:abstractNumId w:val="43"/>
  </w:num>
  <w:num w:numId="50" w16cid:durableId="1604611614">
    <w:abstractNumId w:val="25"/>
  </w:num>
  <w:num w:numId="51" w16cid:durableId="1777823440">
    <w:abstractNumId w:val="35"/>
  </w:num>
  <w:num w:numId="52" w16cid:durableId="1791977196">
    <w:abstractNumId w:val="14"/>
  </w:num>
  <w:num w:numId="53" w16cid:durableId="1857887439">
    <w:abstractNumId w:val="45"/>
  </w:num>
  <w:num w:numId="54" w16cid:durableId="94846337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activeWritingStyle w:appName="MSWord" w:lang="fr-FR" w:vendorID="64" w:dllVersion="6" w:nlCheck="1" w:checkStyle="0"/>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4096" w:nlCheck="1" w:checkStyle="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4"/>
    <w:rsid w:val="00000065"/>
    <w:rsid w:val="000004C5"/>
    <w:rsid w:val="000004EC"/>
    <w:rsid w:val="0000088C"/>
    <w:rsid w:val="000009C4"/>
    <w:rsid w:val="00000D53"/>
    <w:rsid w:val="00001437"/>
    <w:rsid w:val="00001B0D"/>
    <w:rsid w:val="000027C0"/>
    <w:rsid w:val="00002BDD"/>
    <w:rsid w:val="00003A90"/>
    <w:rsid w:val="00003B9C"/>
    <w:rsid w:val="000041E2"/>
    <w:rsid w:val="000043F9"/>
    <w:rsid w:val="0000453F"/>
    <w:rsid w:val="00004FF8"/>
    <w:rsid w:val="0000509E"/>
    <w:rsid w:val="00005C0B"/>
    <w:rsid w:val="00005FBC"/>
    <w:rsid w:val="00006258"/>
    <w:rsid w:val="0000669D"/>
    <w:rsid w:val="0000694F"/>
    <w:rsid w:val="00006AC7"/>
    <w:rsid w:val="0000720D"/>
    <w:rsid w:val="00007D0E"/>
    <w:rsid w:val="000107FF"/>
    <w:rsid w:val="00010F33"/>
    <w:rsid w:val="00011ED4"/>
    <w:rsid w:val="00012239"/>
    <w:rsid w:val="000123D3"/>
    <w:rsid w:val="00013158"/>
    <w:rsid w:val="00013756"/>
    <w:rsid w:val="00014445"/>
    <w:rsid w:val="00014967"/>
    <w:rsid w:val="00014CE1"/>
    <w:rsid w:val="00014D41"/>
    <w:rsid w:val="000154EB"/>
    <w:rsid w:val="00015BF9"/>
    <w:rsid w:val="00017928"/>
    <w:rsid w:val="00017BCF"/>
    <w:rsid w:val="000201FD"/>
    <w:rsid w:val="00020430"/>
    <w:rsid w:val="00020C86"/>
    <w:rsid w:val="00020FBD"/>
    <w:rsid w:val="00021145"/>
    <w:rsid w:val="000211EC"/>
    <w:rsid w:val="00021A1F"/>
    <w:rsid w:val="00021B6D"/>
    <w:rsid w:val="00022000"/>
    <w:rsid w:val="00022C36"/>
    <w:rsid w:val="000234CA"/>
    <w:rsid w:val="000238B8"/>
    <w:rsid w:val="00023C8A"/>
    <w:rsid w:val="0002412D"/>
    <w:rsid w:val="000241C0"/>
    <w:rsid w:val="00025FC7"/>
    <w:rsid w:val="00025FED"/>
    <w:rsid w:val="00026977"/>
    <w:rsid w:val="00026FFD"/>
    <w:rsid w:val="000303E2"/>
    <w:rsid w:val="000308BE"/>
    <w:rsid w:val="000309B1"/>
    <w:rsid w:val="0003108D"/>
    <w:rsid w:val="000312E9"/>
    <w:rsid w:val="00031362"/>
    <w:rsid w:val="00031386"/>
    <w:rsid w:val="00031B30"/>
    <w:rsid w:val="00031D33"/>
    <w:rsid w:val="00032519"/>
    <w:rsid w:val="00032731"/>
    <w:rsid w:val="00032F0E"/>
    <w:rsid w:val="000330BB"/>
    <w:rsid w:val="000333EB"/>
    <w:rsid w:val="00033BE1"/>
    <w:rsid w:val="00033DC0"/>
    <w:rsid w:val="0003411D"/>
    <w:rsid w:val="00034364"/>
    <w:rsid w:val="00034C53"/>
    <w:rsid w:val="00034FF2"/>
    <w:rsid w:val="00035004"/>
    <w:rsid w:val="00035296"/>
    <w:rsid w:val="0003607F"/>
    <w:rsid w:val="00036B45"/>
    <w:rsid w:val="00036CE8"/>
    <w:rsid w:val="00036D26"/>
    <w:rsid w:val="00036E1B"/>
    <w:rsid w:val="000375BF"/>
    <w:rsid w:val="00037E6E"/>
    <w:rsid w:val="00040735"/>
    <w:rsid w:val="00040787"/>
    <w:rsid w:val="00040BED"/>
    <w:rsid w:val="00040CE1"/>
    <w:rsid w:val="000416FE"/>
    <w:rsid w:val="00041B19"/>
    <w:rsid w:val="00041B90"/>
    <w:rsid w:val="00041BA3"/>
    <w:rsid w:val="00042E16"/>
    <w:rsid w:val="00042E3A"/>
    <w:rsid w:val="00043E5F"/>
    <w:rsid w:val="000459E6"/>
    <w:rsid w:val="00045A52"/>
    <w:rsid w:val="00045C71"/>
    <w:rsid w:val="00045DB6"/>
    <w:rsid w:val="00046E9C"/>
    <w:rsid w:val="00047ACB"/>
    <w:rsid w:val="00050C93"/>
    <w:rsid w:val="00050E7E"/>
    <w:rsid w:val="00051E72"/>
    <w:rsid w:val="000526B7"/>
    <w:rsid w:val="00052890"/>
    <w:rsid w:val="00052C9B"/>
    <w:rsid w:val="0005310F"/>
    <w:rsid w:val="0005315F"/>
    <w:rsid w:val="00053371"/>
    <w:rsid w:val="00053780"/>
    <w:rsid w:val="00053C24"/>
    <w:rsid w:val="00054439"/>
    <w:rsid w:val="00054E8E"/>
    <w:rsid w:val="000552B3"/>
    <w:rsid w:val="00055664"/>
    <w:rsid w:val="0005595A"/>
    <w:rsid w:val="0005595D"/>
    <w:rsid w:val="00055B44"/>
    <w:rsid w:val="000561F6"/>
    <w:rsid w:val="0005641C"/>
    <w:rsid w:val="00056760"/>
    <w:rsid w:val="00056A98"/>
    <w:rsid w:val="00056FD3"/>
    <w:rsid w:val="00057216"/>
    <w:rsid w:val="000578D6"/>
    <w:rsid w:val="00060202"/>
    <w:rsid w:val="00060795"/>
    <w:rsid w:val="00060ACD"/>
    <w:rsid w:val="00060E49"/>
    <w:rsid w:val="00061027"/>
    <w:rsid w:val="0006245F"/>
    <w:rsid w:val="00063907"/>
    <w:rsid w:val="000640A0"/>
    <w:rsid w:val="000640C4"/>
    <w:rsid w:val="0006495E"/>
    <w:rsid w:val="00064A55"/>
    <w:rsid w:val="00064AF3"/>
    <w:rsid w:val="00064F5C"/>
    <w:rsid w:val="00065133"/>
    <w:rsid w:val="00066B9C"/>
    <w:rsid w:val="00066CFD"/>
    <w:rsid w:val="00066E4C"/>
    <w:rsid w:val="00067F41"/>
    <w:rsid w:val="0007116C"/>
    <w:rsid w:val="00071E83"/>
    <w:rsid w:val="00073136"/>
    <w:rsid w:val="000747F3"/>
    <w:rsid w:val="00074AE5"/>
    <w:rsid w:val="00074C44"/>
    <w:rsid w:val="00075091"/>
    <w:rsid w:val="0007547E"/>
    <w:rsid w:val="00075CA5"/>
    <w:rsid w:val="0007638A"/>
    <w:rsid w:val="00076869"/>
    <w:rsid w:val="000768E1"/>
    <w:rsid w:val="00076D7A"/>
    <w:rsid w:val="000771CF"/>
    <w:rsid w:val="0007742C"/>
    <w:rsid w:val="00077510"/>
    <w:rsid w:val="000779E3"/>
    <w:rsid w:val="00077B61"/>
    <w:rsid w:val="00077D6D"/>
    <w:rsid w:val="00077DB1"/>
    <w:rsid w:val="00080602"/>
    <w:rsid w:val="00080EBC"/>
    <w:rsid w:val="000812AC"/>
    <w:rsid w:val="0008174D"/>
    <w:rsid w:val="00081766"/>
    <w:rsid w:val="0008198F"/>
    <w:rsid w:val="00081F5C"/>
    <w:rsid w:val="000824AC"/>
    <w:rsid w:val="0008273B"/>
    <w:rsid w:val="00082F06"/>
    <w:rsid w:val="000836D1"/>
    <w:rsid w:val="00083D20"/>
    <w:rsid w:val="00083F7E"/>
    <w:rsid w:val="0008437C"/>
    <w:rsid w:val="00084BEE"/>
    <w:rsid w:val="0008506E"/>
    <w:rsid w:val="00085905"/>
    <w:rsid w:val="00085959"/>
    <w:rsid w:val="00085D1A"/>
    <w:rsid w:val="00086760"/>
    <w:rsid w:val="000900EA"/>
    <w:rsid w:val="000902E9"/>
    <w:rsid w:val="000903AE"/>
    <w:rsid w:val="000903DF"/>
    <w:rsid w:val="000907B0"/>
    <w:rsid w:val="000909FD"/>
    <w:rsid w:val="0009100D"/>
    <w:rsid w:val="0009396F"/>
    <w:rsid w:val="00093FD1"/>
    <w:rsid w:val="000946AC"/>
    <w:rsid w:val="000948C3"/>
    <w:rsid w:val="00095556"/>
    <w:rsid w:val="00095C78"/>
    <w:rsid w:val="00096505"/>
    <w:rsid w:val="000969FB"/>
    <w:rsid w:val="00096AB6"/>
    <w:rsid w:val="00096F1C"/>
    <w:rsid w:val="000971D2"/>
    <w:rsid w:val="00097654"/>
    <w:rsid w:val="000978B4"/>
    <w:rsid w:val="00097927"/>
    <w:rsid w:val="00097E6B"/>
    <w:rsid w:val="000A11A9"/>
    <w:rsid w:val="000A1433"/>
    <w:rsid w:val="000A1EFE"/>
    <w:rsid w:val="000A2C8F"/>
    <w:rsid w:val="000A2EB2"/>
    <w:rsid w:val="000A30F2"/>
    <w:rsid w:val="000A30F6"/>
    <w:rsid w:val="000A4467"/>
    <w:rsid w:val="000A59DA"/>
    <w:rsid w:val="000A5E7D"/>
    <w:rsid w:val="000A6008"/>
    <w:rsid w:val="000A666B"/>
    <w:rsid w:val="000A69AE"/>
    <w:rsid w:val="000A72A0"/>
    <w:rsid w:val="000A7FB3"/>
    <w:rsid w:val="000B0116"/>
    <w:rsid w:val="000B023C"/>
    <w:rsid w:val="000B0C78"/>
    <w:rsid w:val="000B1CAF"/>
    <w:rsid w:val="000B1DA0"/>
    <w:rsid w:val="000B2509"/>
    <w:rsid w:val="000B2668"/>
    <w:rsid w:val="000B2D96"/>
    <w:rsid w:val="000B3B4E"/>
    <w:rsid w:val="000B3C5C"/>
    <w:rsid w:val="000B3CAB"/>
    <w:rsid w:val="000B44FA"/>
    <w:rsid w:val="000B4A89"/>
    <w:rsid w:val="000B4C96"/>
    <w:rsid w:val="000B5352"/>
    <w:rsid w:val="000B5586"/>
    <w:rsid w:val="000B5C2D"/>
    <w:rsid w:val="000B5F43"/>
    <w:rsid w:val="000B62AD"/>
    <w:rsid w:val="000B7785"/>
    <w:rsid w:val="000B7A95"/>
    <w:rsid w:val="000C01A5"/>
    <w:rsid w:val="000C0310"/>
    <w:rsid w:val="000C04E2"/>
    <w:rsid w:val="000C11BB"/>
    <w:rsid w:val="000C141F"/>
    <w:rsid w:val="000C1C0C"/>
    <w:rsid w:val="000C1FBD"/>
    <w:rsid w:val="000C2929"/>
    <w:rsid w:val="000C30B1"/>
    <w:rsid w:val="000C33CE"/>
    <w:rsid w:val="000C3743"/>
    <w:rsid w:val="000C3C27"/>
    <w:rsid w:val="000C4E71"/>
    <w:rsid w:val="000C5F1B"/>
    <w:rsid w:val="000C6093"/>
    <w:rsid w:val="000C62F5"/>
    <w:rsid w:val="000C692E"/>
    <w:rsid w:val="000C6BC4"/>
    <w:rsid w:val="000C6F34"/>
    <w:rsid w:val="000C6FC3"/>
    <w:rsid w:val="000C725E"/>
    <w:rsid w:val="000D0704"/>
    <w:rsid w:val="000D2C32"/>
    <w:rsid w:val="000D302C"/>
    <w:rsid w:val="000D33E9"/>
    <w:rsid w:val="000D354B"/>
    <w:rsid w:val="000D4A42"/>
    <w:rsid w:val="000D511C"/>
    <w:rsid w:val="000D548C"/>
    <w:rsid w:val="000D55F9"/>
    <w:rsid w:val="000D583A"/>
    <w:rsid w:val="000D5D4E"/>
    <w:rsid w:val="000D5DCC"/>
    <w:rsid w:val="000D69A4"/>
    <w:rsid w:val="000D69AB"/>
    <w:rsid w:val="000D6A58"/>
    <w:rsid w:val="000D6D7B"/>
    <w:rsid w:val="000D7DF5"/>
    <w:rsid w:val="000D7FD9"/>
    <w:rsid w:val="000E0024"/>
    <w:rsid w:val="000E0129"/>
    <w:rsid w:val="000E0551"/>
    <w:rsid w:val="000E0DBB"/>
    <w:rsid w:val="000E0FF4"/>
    <w:rsid w:val="000E190B"/>
    <w:rsid w:val="000E1B19"/>
    <w:rsid w:val="000E1DB8"/>
    <w:rsid w:val="000E20E6"/>
    <w:rsid w:val="000E20E8"/>
    <w:rsid w:val="000E32A2"/>
    <w:rsid w:val="000E3347"/>
    <w:rsid w:val="000E5BEF"/>
    <w:rsid w:val="000E680B"/>
    <w:rsid w:val="000E6A5D"/>
    <w:rsid w:val="000E6DF9"/>
    <w:rsid w:val="000E6E58"/>
    <w:rsid w:val="000E6F4A"/>
    <w:rsid w:val="000E7650"/>
    <w:rsid w:val="000E7E74"/>
    <w:rsid w:val="000E7EB6"/>
    <w:rsid w:val="000F0AC0"/>
    <w:rsid w:val="000F0AC1"/>
    <w:rsid w:val="000F0F1C"/>
    <w:rsid w:val="000F12D9"/>
    <w:rsid w:val="000F2537"/>
    <w:rsid w:val="000F26EE"/>
    <w:rsid w:val="000F35CD"/>
    <w:rsid w:val="000F3AA4"/>
    <w:rsid w:val="000F4CF1"/>
    <w:rsid w:val="000F53EB"/>
    <w:rsid w:val="000F5A47"/>
    <w:rsid w:val="000F5D38"/>
    <w:rsid w:val="000F7212"/>
    <w:rsid w:val="000F7EA9"/>
    <w:rsid w:val="00100AFD"/>
    <w:rsid w:val="00100F36"/>
    <w:rsid w:val="00101180"/>
    <w:rsid w:val="00102586"/>
    <w:rsid w:val="00102D84"/>
    <w:rsid w:val="00102F91"/>
    <w:rsid w:val="00103063"/>
    <w:rsid w:val="001038CF"/>
    <w:rsid w:val="00103967"/>
    <w:rsid w:val="00103D7C"/>
    <w:rsid w:val="00104008"/>
    <w:rsid w:val="001040CA"/>
    <w:rsid w:val="00104DAA"/>
    <w:rsid w:val="00104E57"/>
    <w:rsid w:val="0010518B"/>
    <w:rsid w:val="001052AA"/>
    <w:rsid w:val="00105579"/>
    <w:rsid w:val="00105934"/>
    <w:rsid w:val="0010620F"/>
    <w:rsid w:val="00106D36"/>
    <w:rsid w:val="00106F7B"/>
    <w:rsid w:val="00107026"/>
    <w:rsid w:val="00107280"/>
    <w:rsid w:val="0010747A"/>
    <w:rsid w:val="001076FB"/>
    <w:rsid w:val="00107B52"/>
    <w:rsid w:val="00110571"/>
    <w:rsid w:val="00111019"/>
    <w:rsid w:val="001110AF"/>
    <w:rsid w:val="00111CD8"/>
    <w:rsid w:val="0011224A"/>
    <w:rsid w:val="00112646"/>
    <w:rsid w:val="00112BF6"/>
    <w:rsid w:val="00112CE0"/>
    <w:rsid w:val="00113B79"/>
    <w:rsid w:val="00113C89"/>
    <w:rsid w:val="00114C00"/>
    <w:rsid w:val="00116275"/>
    <w:rsid w:val="0011646A"/>
    <w:rsid w:val="001168D6"/>
    <w:rsid w:val="00116954"/>
    <w:rsid w:val="00117078"/>
    <w:rsid w:val="00117488"/>
    <w:rsid w:val="00117558"/>
    <w:rsid w:val="00117EE7"/>
    <w:rsid w:val="00117F23"/>
    <w:rsid w:val="001202A8"/>
    <w:rsid w:val="001206D5"/>
    <w:rsid w:val="001206F1"/>
    <w:rsid w:val="00120F8E"/>
    <w:rsid w:val="00120FAB"/>
    <w:rsid w:val="00121221"/>
    <w:rsid w:val="00121D9E"/>
    <w:rsid w:val="00123149"/>
    <w:rsid w:val="0012397E"/>
    <w:rsid w:val="00123E21"/>
    <w:rsid w:val="00123E95"/>
    <w:rsid w:val="00124786"/>
    <w:rsid w:val="00124E45"/>
    <w:rsid w:val="001254F2"/>
    <w:rsid w:val="00126138"/>
    <w:rsid w:val="001265EC"/>
    <w:rsid w:val="001265FA"/>
    <w:rsid w:val="00126769"/>
    <w:rsid w:val="00126792"/>
    <w:rsid w:val="00126CC1"/>
    <w:rsid w:val="00126FA9"/>
    <w:rsid w:val="001277BC"/>
    <w:rsid w:val="00131129"/>
    <w:rsid w:val="001312A3"/>
    <w:rsid w:val="00131700"/>
    <w:rsid w:val="00131EE0"/>
    <w:rsid w:val="001323F3"/>
    <w:rsid w:val="001328A2"/>
    <w:rsid w:val="0013342C"/>
    <w:rsid w:val="00133A54"/>
    <w:rsid w:val="00134C83"/>
    <w:rsid w:val="001351F2"/>
    <w:rsid w:val="00135A07"/>
    <w:rsid w:val="00136FFA"/>
    <w:rsid w:val="001370C1"/>
    <w:rsid w:val="00137566"/>
    <w:rsid w:val="001400B1"/>
    <w:rsid w:val="001405AB"/>
    <w:rsid w:val="00140CF1"/>
    <w:rsid w:val="0014133B"/>
    <w:rsid w:val="00141AE1"/>
    <w:rsid w:val="00141FFD"/>
    <w:rsid w:val="001422F6"/>
    <w:rsid w:val="00142400"/>
    <w:rsid w:val="00142E6F"/>
    <w:rsid w:val="00143678"/>
    <w:rsid w:val="001436FF"/>
    <w:rsid w:val="001438E7"/>
    <w:rsid w:val="00143E45"/>
    <w:rsid w:val="00143E8D"/>
    <w:rsid w:val="00144F42"/>
    <w:rsid w:val="00145331"/>
    <w:rsid w:val="001463EF"/>
    <w:rsid w:val="00146683"/>
    <w:rsid w:val="001478F3"/>
    <w:rsid w:val="001500D4"/>
    <w:rsid w:val="0015014F"/>
    <w:rsid w:val="00150592"/>
    <w:rsid w:val="00150B51"/>
    <w:rsid w:val="00150C0A"/>
    <w:rsid w:val="00150D0D"/>
    <w:rsid w:val="00151093"/>
    <w:rsid w:val="00151AEB"/>
    <w:rsid w:val="00152294"/>
    <w:rsid w:val="00153689"/>
    <w:rsid w:val="00153B05"/>
    <w:rsid w:val="00153CE7"/>
    <w:rsid w:val="00153E02"/>
    <w:rsid w:val="001545C7"/>
    <w:rsid w:val="001549B7"/>
    <w:rsid w:val="00155A7B"/>
    <w:rsid w:val="00155E8F"/>
    <w:rsid w:val="00156749"/>
    <w:rsid w:val="00156A20"/>
    <w:rsid w:val="00156AD6"/>
    <w:rsid w:val="00156EFE"/>
    <w:rsid w:val="001571D0"/>
    <w:rsid w:val="00157353"/>
    <w:rsid w:val="00157B62"/>
    <w:rsid w:val="00157E73"/>
    <w:rsid w:val="00160AB6"/>
    <w:rsid w:val="00160AC9"/>
    <w:rsid w:val="00160AEF"/>
    <w:rsid w:val="00160BE0"/>
    <w:rsid w:val="00160DB7"/>
    <w:rsid w:val="00160E6F"/>
    <w:rsid w:val="00161F7F"/>
    <w:rsid w:val="00161FE8"/>
    <w:rsid w:val="0016216D"/>
    <w:rsid w:val="0016274C"/>
    <w:rsid w:val="00162CA9"/>
    <w:rsid w:val="001630E2"/>
    <w:rsid w:val="00163A6E"/>
    <w:rsid w:val="00163FD2"/>
    <w:rsid w:val="0016428F"/>
    <w:rsid w:val="00164388"/>
    <w:rsid w:val="00166608"/>
    <w:rsid w:val="00166D78"/>
    <w:rsid w:val="00167433"/>
    <w:rsid w:val="001675FC"/>
    <w:rsid w:val="001701D5"/>
    <w:rsid w:val="00170D54"/>
    <w:rsid w:val="001711FB"/>
    <w:rsid w:val="00171848"/>
    <w:rsid w:val="00172242"/>
    <w:rsid w:val="00172C93"/>
    <w:rsid w:val="00173267"/>
    <w:rsid w:val="00173B9D"/>
    <w:rsid w:val="00174139"/>
    <w:rsid w:val="00174D4C"/>
    <w:rsid w:val="00175243"/>
    <w:rsid w:val="001754CD"/>
    <w:rsid w:val="00175685"/>
    <w:rsid w:val="00176E3B"/>
    <w:rsid w:val="00177FCA"/>
    <w:rsid w:val="001804BC"/>
    <w:rsid w:val="00180696"/>
    <w:rsid w:val="001807ED"/>
    <w:rsid w:val="00180D8F"/>
    <w:rsid w:val="001817BB"/>
    <w:rsid w:val="00182C94"/>
    <w:rsid w:val="00182CEE"/>
    <w:rsid w:val="001838B6"/>
    <w:rsid w:val="0018435B"/>
    <w:rsid w:val="001844A5"/>
    <w:rsid w:val="0018499D"/>
    <w:rsid w:val="00184A6C"/>
    <w:rsid w:val="00184ECF"/>
    <w:rsid w:val="00185894"/>
    <w:rsid w:val="00185A75"/>
    <w:rsid w:val="001860CF"/>
    <w:rsid w:val="001861B3"/>
    <w:rsid w:val="001864F9"/>
    <w:rsid w:val="00186754"/>
    <w:rsid w:val="0018722E"/>
    <w:rsid w:val="001875EE"/>
    <w:rsid w:val="00187A8A"/>
    <w:rsid w:val="00187D5E"/>
    <w:rsid w:val="00187F10"/>
    <w:rsid w:val="00190707"/>
    <w:rsid w:val="00190F1C"/>
    <w:rsid w:val="00191013"/>
    <w:rsid w:val="00192590"/>
    <w:rsid w:val="001926EC"/>
    <w:rsid w:val="0019324B"/>
    <w:rsid w:val="00193370"/>
    <w:rsid w:val="00193463"/>
    <w:rsid w:val="0019409F"/>
    <w:rsid w:val="00194C76"/>
    <w:rsid w:val="001957A4"/>
    <w:rsid w:val="00195871"/>
    <w:rsid w:val="00196641"/>
    <w:rsid w:val="00197674"/>
    <w:rsid w:val="00197AD6"/>
    <w:rsid w:val="001A0136"/>
    <w:rsid w:val="001A0579"/>
    <w:rsid w:val="001A0DD6"/>
    <w:rsid w:val="001A0FA9"/>
    <w:rsid w:val="001A14CE"/>
    <w:rsid w:val="001A156B"/>
    <w:rsid w:val="001A1578"/>
    <w:rsid w:val="001A168F"/>
    <w:rsid w:val="001A1795"/>
    <w:rsid w:val="001A1834"/>
    <w:rsid w:val="001A3BB7"/>
    <w:rsid w:val="001A3D9D"/>
    <w:rsid w:val="001A431B"/>
    <w:rsid w:val="001A4713"/>
    <w:rsid w:val="001A6391"/>
    <w:rsid w:val="001A68E2"/>
    <w:rsid w:val="001A6EC4"/>
    <w:rsid w:val="001A738F"/>
    <w:rsid w:val="001A753B"/>
    <w:rsid w:val="001A771F"/>
    <w:rsid w:val="001A7923"/>
    <w:rsid w:val="001A7AF0"/>
    <w:rsid w:val="001B00BC"/>
    <w:rsid w:val="001B13EB"/>
    <w:rsid w:val="001B216D"/>
    <w:rsid w:val="001B231F"/>
    <w:rsid w:val="001B2792"/>
    <w:rsid w:val="001B2AFE"/>
    <w:rsid w:val="001B2EE9"/>
    <w:rsid w:val="001B2F44"/>
    <w:rsid w:val="001B3069"/>
    <w:rsid w:val="001B311E"/>
    <w:rsid w:val="001B35E4"/>
    <w:rsid w:val="001B4030"/>
    <w:rsid w:val="001B4217"/>
    <w:rsid w:val="001B451B"/>
    <w:rsid w:val="001B49BC"/>
    <w:rsid w:val="001B4B7D"/>
    <w:rsid w:val="001B530F"/>
    <w:rsid w:val="001B56E3"/>
    <w:rsid w:val="001B572C"/>
    <w:rsid w:val="001B5B68"/>
    <w:rsid w:val="001B6BEA"/>
    <w:rsid w:val="001B7015"/>
    <w:rsid w:val="001B721C"/>
    <w:rsid w:val="001B75DB"/>
    <w:rsid w:val="001C13E5"/>
    <w:rsid w:val="001C1535"/>
    <w:rsid w:val="001C1707"/>
    <w:rsid w:val="001C1CCA"/>
    <w:rsid w:val="001C2872"/>
    <w:rsid w:val="001C2A18"/>
    <w:rsid w:val="001C3DE8"/>
    <w:rsid w:val="001C3E76"/>
    <w:rsid w:val="001C4993"/>
    <w:rsid w:val="001C4A0E"/>
    <w:rsid w:val="001C500A"/>
    <w:rsid w:val="001C5509"/>
    <w:rsid w:val="001C56D1"/>
    <w:rsid w:val="001C5A6F"/>
    <w:rsid w:val="001C5E7C"/>
    <w:rsid w:val="001C7DAD"/>
    <w:rsid w:val="001D046D"/>
    <w:rsid w:val="001D0C99"/>
    <w:rsid w:val="001D0FE5"/>
    <w:rsid w:val="001D1040"/>
    <w:rsid w:val="001D17D0"/>
    <w:rsid w:val="001D1F86"/>
    <w:rsid w:val="001D282D"/>
    <w:rsid w:val="001D3358"/>
    <w:rsid w:val="001D38D4"/>
    <w:rsid w:val="001D3A0B"/>
    <w:rsid w:val="001D3FDA"/>
    <w:rsid w:val="001D4770"/>
    <w:rsid w:val="001D4D71"/>
    <w:rsid w:val="001D4E8E"/>
    <w:rsid w:val="001D5423"/>
    <w:rsid w:val="001D658B"/>
    <w:rsid w:val="001D65FC"/>
    <w:rsid w:val="001D7060"/>
    <w:rsid w:val="001D765C"/>
    <w:rsid w:val="001D767D"/>
    <w:rsid w:val="001D7DAB"/>
    <w:rsid w:val="001E10B6"/>
    <w:rsid w:val="001E111B"/>
    <w:rsid w:val="001E17A0"/>
    <w:rsid w:val="001E1FD3"/>
    <w:rsid w:val="001E280F"/>
    <w:rsid w:val="001E2D77"/>
    <w:rsid w:val="001E32BA"/>
    <w:rsid w:val="001E34D1"/>
    <w:rsid w:val="001E38C7"/>
    <w:rsid w:val="001E4B1F"/>
    <w:rsid w:val="001E65CE"/>
    <w:rsid w:val="001E6AB3"/>
    <w:rsid w:val="001E71FB"/>
    <w:rsid w:val="001E72F1"/>
    <w:rsid w:val="001E72FB"/>
    <w:rsid w:val="001E77B6"/>
    <w:rsid w:val="001E77D1"/>
    <w:rsid w:val="001F04DF"/>
    <w:rsid w:val="001F0769"/>
    <w:rsid w:val="001F07F3"/>
    <w:rsid w:val="001F0F78"/>
    <w:rsid w:val="001F138D"/>
    <w:rsid w:val="001F1586"/>
    <w:rsid w:val="001F18A1"/>
    <w:rsid w:val="001F18B9"/>
    <w:rsid w:val="001F1991"/>
    <w:rsid w:val="001F1BC4"/>
    <w:rsid w:val="001F2488"/>
    <w:rsid w:val="001F2544"/>
    <w:rsid w:val="001F27E6"/>
    <w:rsid w:val="001F3CF6"/>
    <w:rsid w:val="001F4918"/>
    <w:rsid w:val="001F4D6D"/>
    <w:rsid w:val="001F4E6F"/>
    <w:rsid w:val="001F5724"/>
    <w:rsid w:val="001F5EA4"/>
    <w:rsid w:val="001F63F3"/>
    <w:rsid w:val="001F649D"/>
    <w:rsid w:val="001F6AAA"/>
    <w:rsid w:val="001F6C9A"/>
    <w:rsid w:val="00201E29"/>
    <w:rsid w:val="00202692"/>
    <w:rsid w:val="0020286F"/>
    <w:rsid w:val="002028BA"/>
    <w:rsid w:val="00202993"/>
    <w:rsid w:val="00202C20"/>
    <w:rsid w:val="002036C9"/>
    <w:rsid w:val="002043E5"/>
    <w:rsid w:val="00204734"/>
    <w:rsid w:val="00204A7D"/>
    <w:rsid w:val="0020522F"/>
    <w:rsid w:val="002056BA"/>
    <w:rsid w:val="0020582F"/>
    <w:rsid w:val="00206018"/>
    <w:rsid w:val="00206D62"/>
    <w:rsid w:val="002078EC"/>
    <w:rsid w:val="002079BA"/>
    <w:rsid w:val="00207A01"/>
    <w:rsid w:val="002105DF"/>
    <w:rsid w:val="00210A19"/>
    <w:rsid w:val="00210CF7"/>
    <w:rsid w:val="00211049"/>
    <w:rsid w:val="002118CB"/>
    <w:rsid w:val="00211C30"/>
    <w:rsid w:val="00212954"/>
    <w:rsid w:val="00212DF5"/>
    <w:rsid w:val="002134E1"/>
    <w:rsid w:val="0021351C"/>
    <w:rsid w:val="002141C8"/>
    <w:rsid w:val="00214250"/>
    <w:rsid w:val="002143ED"/>
    <w:rsid w:val="00214732"/>
    <w:rsid w:val="002151C2"/>
    <w:rsid w:val="0021553C"/>
    <w:rsid w:val="00215796"/>
    <w:rsid w:val="00215C20"/>
    <w:rsid w:val="00216223"/>
    <w:rsid w:val="00216CE7"/>
    <w:rsid w:val="002170F8"/>
    <w:rsid w:val="00217F4F"/>
    <w:rsid w:val="00220D42"/>
    <w:rsid w:val="00221616"/>
    <w:rsid w:val="00221C6B"/>
    <w:rsid w:val="0022238F"/>
    <w:rsid w:val="0022260E"/>
    <w:rsid w:val="0022273F"/>
    <w:rsid w:val="002230D3"/>
    <w:rsid w:val="002231CF"/>
    <w:rsid w:val="00223532"/>
    <w:rsid w:val="00223A91"/>
    <w:rsid w:val="00225D48"/>
    <w:rsid w:val="00225F1D"/>
    <w:rsid w:val="0022622E"/>
    <w:rsid w:val="002268B0"/>
    <w:rsid w:val="00226969"/>
    <w:rsid w:val="002269CB"/>
    <w:rsid w:val="00226D5D"/>
    <w:rsid w:val="00226FC9"/>
    <w:rsid w:val="002276C9"/>
    <w:rsid w:val="002278AB"/>
    <w:rsid w:val="002279D3"/>
    <w:rsid w:val="0023061D"/>
    <w:rsid w:val="00230E7E"/>
    <w:rsid w:val="00230FCF"/>
    <w:rsid w:val="0023203E"/>
    <w:rsid w:val="00232F95"/>
    <w:rsid w:val="00233897"/>
    <w:rsid w:val="00233C9E"/>
    <w:rsid w:val="002345BE"/>
    <w:rsid w:val="00234EC2"/>
    <w:rsid w:val="00235A7A"/>
    <w:rsid w:val="0023633A"/>
    <w:rsid w:val="002367CA"/>
    <w:rsid w:val="00236DE2"/>
    <w:rsid w:val="00236EE4"/>
    <w:rsid w:val="00237004"/>
    <w:rsid w:val="002374C2"/>
    <w:rsid w:val="0023753B"/>
    <w:rsid w:val="002379A6"/>
    <w:rsid w:val="00237C06"/>
    <w:rsid w:val="002405AA"/>
    <w:rsid w:val="00242993"/>
    <w:rsid w:val="00242F7D"/>
    <w:rsid w:val="002442FB"/>
    <w:rsid w:val="00244376"/>
    <w:rsid w:val="00244DB3"/>
    <w:rsid w:val="002451E7"/>
    <w:rsid w:val="002454E3"/>
    <w:rsid w:val="00245DC1"/>
    <w:rsid w:val="0024601E"/>
    <w:rsid w:val="0024644A"/>
    <w:rsid w:val="002478B5"/>
    <w:rsid w:val="00247918"/>
    <w:rsid w:val="00250761"/>
    <w:rsid w:val="00250B2A"/>
    <w:rsid w:val="00251626"/>
    <w:rsid w:val="00251AC1"/>
    <w:rsid w:val="00251D09"/>
    <w:rsid w:val="0025203B"/>
    <w:rsid w:val="002524A8"/>
    <w:rsid w:val="00252EFE"/>
    <w:rsid w:val="00253B0D"/>
    <w:rsid w:val="002543E6"/>
    <w:rsid w:val="00254F62"/>
    <w:rsid w:val="0025503B"/>
    <w:rsid w:val="002552CA"/>
    <w:rsid w:val="002553E3"/>
    <w:rsid w:val="00255E60"/>
    <w:rsid w:val="00256457"/>
    <w:rsid w:val="0025712F"/>
    <w:rsid w:val="00257369"/>
    <w:rsid w:val="00257525"/>
    <w:rsid w:val="002602A4"/>
    <w:rsid w:val="00260EA3"/>
    <w:rsid w:val="00260FF3"/>
    <w:rsid w:val="0026150D"/>
    <w:rsid w:val="0026176C"/>
    <w:rsid w:val="00261812"/>
    <w:rsid w:val="00261E03"/>
    <w:rsid w:val="00262139"/>
    <w:rsid w:val="00262154"/>
    <w:rsid w:val="002625F0"/>
    <w:rsid w:val="002630BE"/>
    <w:rsid w:val="002630DC"/>
    <w:rsid w:val="0026316F"/>
    <w:rsid w:val="0026387D"/>
    <w:rsid w:val="00263B07"/>
    <w:rsid w:val="00264834"/>
    <w:rsid w:val="00265652"/>
    <w:rsid w:val="00265D4F"/>
    <w:rsid w:val="00270191"/>
    <w:rsid w:val="00270533"/>
    <w:rsid w:val="002708B9"/>
    <w:rsid w:val="00270C5A"/>
    <w:rsid w:val="00271091"/>
    <w:rsid w:val="002710DA"/>
    <w:rsid w:val="00271301"/>
    <w:rsid w:val="002717F8"/>
    <w:rsid w:val="0027211B"/>
    <w:rsid w:val="0027215D"/>
    <w:rsid w:val="0027258E"/>
    <w:rsid w:val="00272D3D"/>
    <w:rsid w:val="00272DC8"/>
    <w:rsid w:val="00273183"/>
    <w:rsid w:val="002732CA"/>
    <w:rsid w:val="002744E4"/>
    <w:rsid w:val="00274A5A"/>
    <w:rsid w:val="00275180"/>
    <w:rsid w:val="00275C43"/>
    <w:rsid w:val="00275E58"/>
    <w:rsid w:val="00276028"/>
    <w:rsid w:val="00276116"/>
    <w:rsid w:val="002761A6"/>
    <w:rsid w:val="00276867"/>
    <w:rsid w:val="00276925"/>
    <w:rsid w:val="00276FE2"/>
    <w:rsid w:val="00277982"/>
    <w:rsid w:val="0028072C"/>
    <w:rsid w:val="00280C28"/>
    <w:rsid w:val="00280EAD"/>
    <w:rsid w:val="00281019"/>
    <w:rsid w:val="00281138"/>
    <w:rsid w:val="002817A2"/>
    <w:rsid w:val="00281BC6"/>
    <w:rsid w:val="00281BDB"/>
    <w:rsid w:val="00281E77"/>
    <w:rsid w:val="0028271D"/>
    <w:rsid w:val="00282F00"/>
    <w:rsid w:val="0028313F"/>
    <w:rsid w:val="00283AA6"/>
    <w:rsid w:val="002842DC"/>
    <w:rsid w:val="00285373"/>
    <w:rsid w:val="00285610"/>
    <w:rsid w:val="00285FA6"/>
    <w:rsid w:val="00286313"/>
    <w:rsid w:val="002870BF"/>
    <w:rsid w:val="00287195"/>
    <w:rsid w:val="00290135"/>
    <w:rsid w:val="0029043D"/>
    <w:rsid w:val="00290EC6"/>
    <w:rsid w:val="00291CEC"/>
    <w:rsid w:val="00292304"/>
    <w:rsid w:val="00292B5D"/>
    <w:rsid w:val="00293001"/>
    <w:rsid w:val="00295A3A"/>
    <w:rsid w:val="00295BBD"/>
    <w:rsid w:val="0029611B"/>
    <w:rsid w:val="002966FE"/>
    <w:rsid w:val="00296A7F"/>
    <w:rsid w:val="00297515"/>
    <w:rsid w:val="002975B0"/>
    <w:rsid w:val="00297825"/>
    <w:rsid w:val="002A0449"/>
    <w:rsid w:val="002A1032"/>
    <w:rsid w:val="002A16F9"/>
    <w:rsid w:val="002A25B3"/>
    <w:rsid w:val="002A2964"/>
    <w:rsid w:val="002A2C63"/>
    <w:rsid w:val="002A4283"/>
    <w:rsid w:val="002A48A3"/>
    <w:rsid w:val="002A54BC"/>
    <w:rsid w:val="002A5AFB"/>
    <w:rsid w:val="002A7995"/>
    <w:rsid w:val="002B09AD"/>
    <w:rsid w:val="002B2746"/>
    <w:rsid w:val="002B54DD"/>
    <w:rsid w:val="002B5626"/>
    <w:rsid w:val="002B57E9"/>
    <w:rsid w:val="002B59B1"/>
    <w:rsid w:val="002B6DC0"/>
    <w:rsid w:val="002B6E54"/>
    <w:rsid w:val="002B78D9"/>
    <w:rsid w:val="002B7918"/>
    <w:rsid w:val="002C0095"/>
    <w:rsid w:val="002C00D9"/>
    <w:rsid w:val="002C0351"/>
    <w:rsid w:val="002C1C19"/>
    <w:rsid w:val="002C1CE9"/>
    <w:rsid w:val="002C2240"/>
    <w:rsid w:val="002C3171"/>
    <w:rsid w:val="002C32BA"/>
    <w:rsid w:val="002C3570"/>
    <w:rsid w:val="002C41C2"/>
    <w:rsid w:val="002C489C"/>
    <w:rsid w:val="002C4BB2"/>
    <w:rsid w:val="002C4D9A"/>
    <w:rsid w:val="002C5079"/>
    <w:rsid w:val="002C5086"/>
    <w:rsid w:val="002C550F"/>
    <w:rsid w:val="002C5D38"/>
    <w:rsid w:val="002C6082"/>
    <w:rsid w:val="002C680F"/>
    <w:rsid w:val="002C6FE8"/>
    <w:rsid w:val="002C7E55"/>
    <w:rsid w:val="002D013B"/>
    <w:rsid w:val="002D0868"/>
    <w:rsid w:val="002D0C26"/>
    <w:rsid w:val="002D0F14"/>
    <w:rsid w:val="002D1540"/>
    <w:rsid w:val="002D181F"/>
    <w:rsid w:val="002D1D4A"/>
    <w:rsid w:val="002D3310"/>
    <w:rsid w:val="002D35C7"/>
    <w:rsid w:val="002D3BAB"/>
    <w:rsid w:val="002D433E"/>
    <w:rsid w:val="002D505F"/>
    <w:rsid w:val="002D55A5"/>
    <w:rsid w:val="002D5886"/>
    <w:rsid w:val="002D6046"/>
    <w:rsid w:val="002D6256"/>
    <w:rsid w:val="002D6468"/>
    <w:rsid w:val="002D66E6"/>
    <w:rsid w:val="002D6D17"/>
    <w:rsid w:val="002D6EC5"/>
    <w:rsid w:val="002D70C5"/>
    <w:rsid w:val="002D78A0"/>
    <w:rsid w:val="002D7F93"/>
    <w:rsid w:val="002E03EC"/>
    <w:rsid w:val="002E047E"/>
    <w:rsid w:val="002E0DAF"/>
    <w:rsid w:val="002E18A1"/>
    <w:rsid w:val="002E1DE8"/>
    <w:rsid w:val="002E29CD"/>
    <w:rsid w:val="002E2C10"/>
    <w:rsid w:val="002E4870"/>
    <w:rsid w:val="002E4F73"/>
    <w:rsid w:val="002E68BF"/>
    <w:rsid w:val="002E6A83"/>
    <w:rsid w:val="002E7BFB"/>
    <w:rsid w:val="002E7CA5"/>
    <w:rsid w:val="002E7E1C"/>
    <w:rsid w:val="002F0712"/>
    <w:rsid w:val="002F09D7"/>
    <w:rsid w:val="002F0CBF"/>
    <w:rsid w:val="002F0DF1"/>
    <w:rsid w:val="002F0EE3"/>
    <w:rsid w:val="002F0F2A"/>
    <w:rsid w:val="002F0FD8"/>
    <w:rsid w:val="002F13C6"/>
    <w:rsid w:val="002F15BE"/>
    <w:rsid w:val="002F1D99"/>
    <w:rsid w:val="002F2C32"/>
    <w:rsid w:val="002F3942"/>
    <w:rsid w:val="002F4081"/>
    <w:rsid w:val="002F44C8"/>
    <w:rsid w:val="002F557D"/>
    <w:rsid w:val="002F6481"/>
    <w:rsid w:val="002F6727"/>
    <w:rsid w:val="002F6ED2"/>
    <w:rsid w:val="002F72F2"/>
    <w:rsid w:val="002F7A2B"/>
    <w:rsid w:val="003003EB"/>
    <w:rsid w:val="0030090A"/>
    <w:rsid w:val="003015F0"/>
    <w:rsid w:val="00301B01"/>
    <w:rsid w:val="00302107"/>
    <w:rsid w:val="00302324"/>
    <w:rsid w:val="00302A35"/>
    <w:rsid w:val="00303825"/>
    <w:rsid w:val="00303A36"/>
    <w:rsid w:val="00303B3F"/>
    <w:rsid w:val="00303D65"/>
    <w:rsid w:val="0030435B"/>
    <w:rsid w:val="00304654"/>
    <w:rsid w:val="00304977"/>
    <w:rsid w:val="00304AAB"/>
    <w:rsid w:val="00305538"/>
    <w:rsid w:val="00305B33"/>
    <w:rsid w:val="00305EBF"/>
    <w:rsid w:val="0030640E"/>
    <w:rsid w:val="003072FF"/>
    <w:rsid w:val="00307332"/>
    <w:rsid w:val="0030769F"/>
    <w:rsid w:val="00307D82"/>
    <w:rsid w:val="00307F65"/>
    <w:rsid w:val="003105DB"/>
    <w:rsid w:val="00310897"/>
    <w:rsid w:val="00310D44"/>
    <w:rsid w:val="0031145B"/>
    <w:rsid w:val="003118F9"/>
    <w:rsid w:val="003121D5"/>
    <w:rsid w:val="00312B50"/>
    <w:rsid w:val="00312C5A"/>
    <w:rsid w:val="00313190"/>
    <w:rsid w:val="00313259"/>
    <w:rsid w:val="003132C7"/>
    <w:rsid w:val="00313A00"/>
    <w:rsid w:val="00313B76"/>
    <w:rsid w:val="00313C1E"/>
    <w:rsid w:val="00313D93"/>
    <w:rsid w:val="00315D06"/>
    <w:rsid w:val="00316591"/>
    <w:rsid w:val="003177AE"/>
    <w:rsid w:val="00317A4D"/>
    <w:rsid w:val="00317F8B"/>
    <w:rsid w:val="003201FF"/>
    <w:rsid w:val="003205B0"/>
    <w:rsid w:val="003216F3"/>
    <w:rsid w:val="00321941"/>
    <w:rsid w:val="00321A6E"/>
    <w:rsid w:val="00321BE7"/>
    <w:rsid w:val="003222D0"/>
    <w:rsid w:val="0032245C"/>
    <w:rsid w:val="00322A49"/>
    <w:rsid w:val="00322A83"/>
    <w:rsid w:val="00322E9E"/>
    <w:rsid w:val="003230AB"/>
    <w:rsid w:val="0032354D"/>
    <w:rsid w:val="0032358E"/>
    <w:rsid w:val="00323DB6"/>
    <w:rsid w:val="00325401"/>
    <w:rsid w:val="0032618D"/>
    <w:rsid w:val="003269A4"/>
    <w:rsid w:val="00326D21"/>
    <w:rsid w:val="00326D5D"/>
    <w:rsid w:val="00327351"/>
    <w:rsid w:val="003278CF"/>
    <w:rsid w:val="00327CD2"/>
    <w:rsid w:val="00327E1F"/>
    <w:rsid w:val="00330A24"/>
    <w:rsid w:val="00331188"/>
    <w:rsid w:val="0033145D"/>
    <w:rsid w:val="0033160E"/>
    <w:rsid w:val="00331BD3"/>
    <w:rsid w:val="00331E4F"/>
    <w:rsid w:val="00332DD3"/>
    <w:rsid w:val="003345C7"/>
    <w:rsid w:val="00334B35"/>
    <w:rsid w:val="00334BB8"/>
    <w:rsid w:val="00334F87"/>
    <w:rsid w:val="00335E20"/>
    <w:rsid w:val="00336103"/>
    <w:rsid w:val="003366A0"/>
    <w:rsid w:val="00337360"/>
    <w:rsid w:val="003373D1"/>
    <w:rsid w:val="003403D9"/>
    <w:rsid w:val="00341543"/>
    <w:rsid w:val="00341BC2"/>
    <w:rsid w:val="00341D12"/>
    <w:rsid w:val="00341D1C"/>
    <w:rsid w:val="0034275D"/>
    <w:rsid w:val="0034366B"/>
    <w:rsid w:val="00343B1A"/>
    <w:rsid w:val="003443F0"/>
    <w:rsid w:val="00344456"/>
    <w:rsid w:val="003448CB"/>
    <w:rsid w:val="0034536E"/>
    <w:rsid w:val="0034563E"/>
    <w:rsid w:val="0034584E"/>
    <w:rsid w:val="00345C25"/>
    <w:rsid w:val="0034677F"/>
    <w:rsid w:val="00346D0E"/>
    <w:rsid w:val="00347247"/>
    <w:rsid w:val="003473F9"/>
    <w:rsid w:val="003478D6"/>
    <w:rsid w:val="00347944"/>
    <w:rsid w:val="00350701"/>
    <w:rsid w:val="003510F9"/>
    <w:rsid w:val="003511BB"/>
    <w:rsid w:val="003511D1"/>
    <w:rsid w:val="00351694"/>
    <w:rsid w:val="003516B6"/>
    <w:rsid w:val="003528AA"/>
    <w:rsid w:val="003533D2"/>
    <w:rsid w:val="00353777"/>
    <w:rsid w:val="003538E8"/>
    <w:rsid w:val="0035415E"/>
    <w:rsid w:val="003544DB"/>
    <w:rsid w:val="00355E9B"/>
    <w:rsid w:val="00357E55"/>
    <w:rsid w:val="003603B8"/>
    <w:rsid w:val="00360B26"/>
    <w:rsid w:val="00360E90"/>
    <w:rsid w:val="0036156F"/>
    <w:rsid w:val="003617CB"/>
    <w:rsid w:val="00362286"/>
    <w:rsid w:val="00362866"/>
    <w:rsid w:val="00362E63"/>
    <w:rsid w:val="00363526"/>
    <w:rsid w:val="003644B5"/>
    <w:rsid w:val="0036486E"/>
    <w:rsid w:val="0036537A"/>
    <w:rsid w:val="00365542"/>
    <w:rsid w:val="00365D81"/>
    <w:rsid w:val="003660A0"/>
    <w:rsid w:val="003662F7"/>
    <w:rsid w:val="00366548"/>
    <w:rsid w:val="00366CB8"/>
    <w:rsid w:val="00367585"/>
    <w:rsid w:val="00367632"/>
    <w:rsid w:val="00367960"/>
    <w:rsid w:val="003701E2"/>
    <w:rsid w:val="003711CD"/>
    <w:rsid w:val="003714AD"/>
    <w:rsid w:val="00371C98"/>
    <w:rsid w:val="003721F1"/>
    <w:rsid w:val="0037266A"/>
    <w:rsid w:val="00372A33"/>
    <w:rsid w:val="00372B34"/>
    <w:rsid w:val="00373167"/>
    <w:rsid w:val="0037356E"/>
    <w:rsid w:val="00373AFE"/>
    <w:rsid w:val="00375E3B"/>
    <w:rsid w:val="00375EF9"/>
    <w:rsid w:val="0037744C"/>
    <w:rsid w:val="00377B79"/>
    <w:rsid w:val="00380547"/>
    <w:rsid w:val="00380748"/>
    <w:rsid w:val="003808AF"/>
    <w:rsid w:val="00380A52"/>
    <w:rsid w:val="00380AE4"/>
    <w:rsid w:val="0038100C"/>
    <w:rsid w:val="003813A0"/>
    <w:rsid w:val="00381B97"/>
    <w:rsid w:val="00381E7A"/>
    <w:rsid w:val="00381E7B"/>
    <w:rsid w:val="003820EB"/>
    <w:rsid w:val="00382D07"/>
    <w:rsid w:val="00382DCA"/>
    <w:rsid w:val="00382FCF"/>
    <w:rsid w:val="003830B7"/>
    <w:rsid w:val="0038320C"/>
    <w:rsid w:val="003834A4"/>
    <w:rsid w:val="003838F4"/>
    <w:rsid w:val="00383FA3"/>
    <w:rsid w:val="003840E3"/>
    <w:rsid w:val="00384D4D"/>
    <w:rsid w:val="00385D59"/>
    <w:rsid w:val="003860A1"/>
    <w:rsid w:val="003860FC"/>
    <w:rsid w:val="00386298"/>
    <w:rsid w:val="00386344"/>
    <w:rsid w:val="00386515"/>
    <w:rsid w:val="00386552"/>
    <w:rsid w:val="003865A5"/>
    <w:rsid w:val="003867A7"/>
    <w:rsid w:val="00386966"/>
    <w:rsid w:val="00386E24"/>
    <w:rsid w:val="00386FAF"/>
    <w:rsid w:val="00387347"/>
    <w:rsid w:val="0038786C"/>
    <w:rsid w:val="00390B83"/>
    <w:rsid w:val="00390BAD"/>
    <w:rsid w:val="00390F06"/>
    <w:rsid w:val="00392288"/>
    <w:rsid w:val="0039390B"/>
    <w:rsid w:val="00393F07"/>
    <w:rsid w:val="0039480B"/>
    <w:rsid w:val="003948CF"/>
    <w:rsid w:val="003948D4"/>
    <w:rsid w:val="00394E96"/>
    <w:rsid w:val="00395005"/>
    <w:rsid w:val="0039520B"/>
    <w:rsid w:val="003953AF"/>
    <w:rsid w:val="003957E4"/>
    <w:rsid w:val="003961BF"/>
    <w:rsid w:val="00396EAF"/>
    <w:rsid w:val="0039780B"/>
    <w:rsid w:val="00397FB5"/>
    <w:rsid w:val="003A0034"/>
    <w:rsid w:val="003A0896"/>
    <w:rsid w:val="003A0A3F"/>
    <w:rsid w:val="003A0CC8"/>
    <w:rsid w:val="003A1405"/>
    <w:rsid w:val="003A17A3"/>
    <w:rsid w:val="003A1849"/>
    <w:rsid w:val="003A1F5D"/>
    <w:rsid w:val="003A2CC3"/>
    <w:rsid w:val="003A3BF1"/>
    <w:rsid w:val="003A4117"/>
    <w:rsid w:val="003A46EB"/>
    <w:rsid w:val="003A501F"/>
    <w:rsid w:val="003A520A"/>
    <w:rsid w:val="003A5767"/>
    <w:rsid w:val="003A6718"/>
    <w:rsid w:val="003A728A"/>
    <w:rsid w:val="003A7746"/>
    <w:rsid w:val="003A7C83"/>
    <w:rsid w:val="003B0BED"/>
    <w:rsid w:val="003B0F28"/>
    <w:rsid w:val="003B115A"/>
    <w:rsid w:val="003B1B27"/>
    <w:rsid w:val="003B1F7A"/>
    <w:rsid w:val="003B2099"/>
    <w:rsid w:val="003B20A2"/>
    <w:rsid w:val="003B288F"/>
    <w:rsid w:val="003B2ECE"/>
    <w:rsid w:val="003B2F0C"/>
    <w:rsid w:val="003B3496"/>
    <w:rsid w:val="003B352C"/>
    <w:rsid w:val="003B3776"/>
    <w:rsid w:val="003B4BC8"/>
    <w:rsid w:val="003B4D52"/>
    <w:rsid w:val="003B5220"/>
    <w:rsid w:val="003B5912"/>
    <w:rsid w:val="003B6201"/>
    <w:rsid w:val="003B6533"/>
    <w:rsid w:val="003B6676"/>
    <w:rsid w:val="003B7313"/>
    <w:rsid w:val="003B7592"/>
    <w:rsid w:val="003C0C42"/>
    <w:rsid w:val="003C0CA2"/>
    <w:rsid w:val="003C0FB9"/>
    <w:rsid w:val="003C1283"/>
    <w:rsid w:val="003C1FC9"/>
    <w:rsid w:val="003C2FA2"/>
    <w:rsid w:val="003C33BD"/>
    <w:rsid w:val="003C3646"/>
    <w:rsid w:val="003C36B1"/>
    <w:rsid w:val="003C3E24"/>
    <w:rsid w:val="003C4AF8"/>
    <w:rsid w:val="003C4BC9"/>
    <w:rsid w:val="003C509A"/>
    <w:rsid w:val="003C639D"/>
    <w:rsid w:val="003C65F6"/>
    <w:rsid w:val="003C721B"/>
    <w:rsid w:val="003C72D9"/>
    <w:rsid w:val="003C735D"/>
    <w:rsid w:val="003C7451"/>
    <w:rsid w:val="003C798D"/>
    <w:rsid w:val="003C7C01"/>
    <w:rsid w:val="003C7DC3"/>
    <w:rsid w:val="003D04B7"/>
    <w:rsid w:val="003D0592"/>
    <w:rsid w:val="003D0971"/>
    <w:rsid w:val="003D1293"/>
    <w:rsid w:val="003D157A"/>
    <w:rsid w:val="003D1C97"/>
    <w:rsid w:val="003D225C"/>
    <w:rsid w:val="003D280D"/>
    <w:rsid w:val="003D2CB9"/>
    <w:rsid w:val="003D36CE"/>
    <w:rsid w:val="003D3A17"/>
    <w:rsid w:val="003D3B61"/>
    <w:rsid w:val="003D424A"/>
    <w:rsid w:val="003D4703"/>
    <w:rsid w:val="003D4F03"/>
    <w:rsid w:val="003D5AD8"/>
    <w:rsid w:val="003D5FB1"/>
    <w:rsid w:val="003D6047"/>
    <w:rsid w:val="003D615B"/>
    <w:rsid w:val="003D6370"/>
    <w:rsid w:val="003D7572"/>
    <w:rsid w:val="003E010C"/>
    <w:rsid w:val="003E0D1C"/>
    <w:rsid w:val="003E0D2A"/>
    <w:rsid w:val="003E0DF9"/>
    <w:rsid w:val="003E1851"/>
    <w:rsid w:val="003E1CB7"/>
    <w:rsid w:val="003E2089"/>
    <w:rsid w:val="003E316F"/>
    <w:rsid w:val="003E3198"/>
    <w:rsid w:val="003E3E7A"/>
    <w:rsid w:val="003E438C"/>
    <w:rsid w:val="003E4417"/>
    <w:rsid w:val="003E44C1"/>
    <w:rsid w:val="003E4703"/>
    <w:rsid w:val="003E495F"/>
    <w:rsid w:val="003E55F8"/>
    <w:rsid w:val="003E5DC0"/>
    <w:rsid w:val="003E6052"/>
    <w:rsid w:val="003E6491"/>
    <w:rsid w:val="003E65DE"/>
    <w:rsid w:val="003E726F"/>
    <w:rsid w:val="003E776A"/>
    <w:rsid w:val="003E7EC4"/>
    <w:rsid w:val="003F0080"/>
    <w:rsid w:val="003F15AA"/>
    <w:rsid w:val="003F2294"/>
    <w:rsid w:val="003F261B"/>
    <w:rsid w:val="003F296B"/>
    <w:rsid w:val="003F304A"/>
    <w:rsid w:val="003F3FB2"/>
    <w:rsid w:val="003F405D"/>
    <w:rsid w:val="003F4ACA"/>
    <w:rsid w:val="003F4D4B"/>
    <w:rsid w:val="003F4F55"/>
    <w:rsid w:val="003F51B7"/>
    <w:rsid w:val="003F5318"/>
    <w:rsid w:val="003F56A6"/>
    <w:rsid w:val="003F6ACE"/>
    <w:rsid w:val="003F6B5F"/>
    <w:rsid w:val="003F77A1"/>
    <w:rsid w:val="003F77BC"/>
    <w:rsid w:val="00400684"/>
    <w:rsid w:val="00400E61"/>
    <w:rsid w:val="00401A82"/>
    <w:rsid w:val="00402224"/>
    <w:rsid w:val="00402BA2"/>
    <w:rsid w:val="00403463"/>
    <w:rsid w:val="00404673"/>
    <w:rsid w:val="00404E7F"/>
    <w:rsid w:val="00405EF1"/>
    <w:rsid w:val="00406706"/>
    <w:rsid w:val="00406736"/>
    <w:rsid w:val="004067AC"/>
    <w:rsid w:val="00407102"/>
    <w:rsid w:val="00407422"/>
    <w:rsid w:val="00410AC3"/>
    <w:rsid w:val="00410F56"/>
    <w:rsid w:val="00411A55"/>
    <w:rsid w:val="00412000"/>
    <w:rsid w:val="00412350"/>
    <w:rsid w:val="00412F02"/>
    <w:rsid w:val="00412F0C"/>
    <w:rsid w:val="00413000"/>
    <w:rsid w:val="00413540"/>
    <w:rsid w:val="004144FC"/>
    <w:rsid w:val="0041496B"/>
    <w:rsid w:val="004149FC"/>
    <w:rsid w:val="00414A1B"/>
    <w:rsid w:val="0041546F"/>
    <w:rsid w:val="00415A8E"/>
    <w:rsid w:val="00416735"/>
    <w:rsid w:val="00416C15"/>
    <w:rsid w:val="00417009"/>
    <w:rsid w:val="00417333"/>
    <w:rsid w:val="004177EA"/>
    <w:rsid w:val="00420145"/>
    <w:rsid w:val="004202EA"/>
    <w:rsid w:val="00420427"/>
    <w:rsid w:val="004208BA"/>
    <w:rsid w:val="00420E93"/>
    <w:rsid w:val="00421402"/>
    <w:rsid w:val="00421820"/>
    <w:rsid w:val="00422012"/>
    <w:rsid w:val="0042243D"/>
    <w:rsid w:val="00422646"/>
    <w:rsid w:val="00422873"/>
    <w:rsid w:val="00423B85"/>
    <w:rsid w:val="00423DDE"/>
    <w:rsid w:val="00423E09"/>
    <w:rsid w:val="00424203"/>
    <w:rsid w:val="00424285"/>
    <w:rsid w:val="004243AC"/>
    <w:rsid w:val="00424C03"/>
    <w:rsid w:val="004251C5"/>
    <w:rsid w:val="0042521D"/>
    <w:rsid w:val="004275C6"/>
    <w:rsid w:val="004276B2"/>
    <w:rsid w:val="004277C3"/>
    <w:rsid w:val="0042791C"/>
    <w:rsid w:val="00430023"/>
    <w:rsid w:val="00430903"/>
    <w:rsid w:val="00430B2C"/>
    <w:rsid w:val="0043134D"/>
    <w:rsid w:val="00433C51"/>
    <w:rsid w:val="00434402"/>
    <w:rsid w:val="00434E9A"/>
    <w:rsid w:val="00434F87"/>
    <w:rsid w:val="00434FD0"/>
    <w:rsid w:val="00435158"/>
    <w:rsid w:val="00435FC9"/>
    <w:rsid w:val="0043604B"/>
    <w:rsid w:val="00436094"/>
    <w:rsid w:val="0043693C"/>
    <w:rsid w:val="004370A9"/>
    <w:rsid w:val="0043712D"/>
    <w:rsid w:val="0044032E"/>
    <w:rsid w:val="004403FE"/>
    <w:rsid w:val="004407A8"/>
    <w:rsid w:val="004407F6"/>
    <w:rsid w:val="004421AD"/>
    <w:rsid w:val="004425AD"/>
    <w:rsid w:val="00442D16"/>
    <w:rsid w:val="00443220"/>
    <w:rsid w:val="00443C56"/>
    <w:rsid w:val="00443D7B"/>
    <w:rsid w:val="00443E39"/>
    <w:rsid w:val="00443EC7"/>
    <w:rsid w:val="004444C3"/>
    <w:rsid w:val="00444F64"/>
    <w:rsid w:val="00444F7E"/>
    <w:rsid w:val="00445332"/>
    <w:rsid w:val="004461C4"/>
    <w:rsid w:val="00446CC2"/>
    <w:rsid w:val="004503D4"/>
    <w:rsid w:val="004505FE"/>
    <w:rsid w:val="00451339"/>
    <w:rsid w:val="00451DC1"/>
    <w:rsid w:val="00452477"/>
    <w:rsid w:val="004524DB"/>
    <w:rsid w:val="00452AA8"/>
    <w:rsid w:val="00452AE9"/>
    <w:rsid w:val="00452C13"/>
    <w:rsid w:val="00452CF3"/>
    <w:rsid w:val="00452D36"/>
    <w:rsid w:val="00452E62"/>
    <w:rsid w:val="004534A6"/>
    <w:rsid w:val="00453D52"/>
    <w:rsid w:val="00454534"/>
    <w:rsid w:val="00454C39"/>
    <w:rsid w:val="004550AA"/>
    <w:rsid w:val="004553E9"/>
    <w:rsid w:val="004560F6"/>
    <w:rsid w:val="00456393"/>
    <w:rsid w:val="004571DC"/>
    <w:rsid w:val="004575C8"/>
    <w:rsid w:val="00457AFE"/>
    <w:rsid w:val="0046042C"/>
    <w:rsid w:val="00460726"/>
    <w:rsid w:val="00460729"/>
    <w:rsid w:val="004611A5"/>
    <w:rsid w:val="00461478"/>
    <w:rsid w:val="00461614"/>
    <w:rsid w:val="00461A50"/>
    <w:rsid w:val="00462AD9"/>
    <w:rsid w:val="00463B63"/>
    <w:rsid w:val="00463D22"/>
    <w:rsid w:val="004640EB"/>
    <w:rsid w:val="0046410D"/>
    <w:rsid w:val="0046507A"/>
    <w:rsid w:val="004660B9"/>
    <w:rsid w:val="004664F2"/>
    <w:rsid w:val="00467F1A"/>
    <w:rsid w:val="00470020"/>
    <w:rsid w:val="00470C96"/>
    <w:rsid w:val="00470DB8"/>
    <w:rsid w:val="004710A4"/>
    <w:rsid w:val="00471101"/>
    <w:rsid w:val="0047117B"/>
    <w:rsid w:val="00471398"/>
    <w:rsid w:val="00472586"/>
    <w:rsid w:val="00472D1B"/>
    <w:rsid w:val="0047322C"/>
    <w:rsid w:val="00473E2D"/>
    <w:rsid w:val="0047437C"/>
    <w:rsid w:val="00474832"/>
    <w:rsid w:val="00474B5C"/>
    <w:rsid w:val="00474D9D"/>
    <w:rsid w:val="00474DF0"/>
    <w:rsid w:val="00475E1F"/>
    <w:rsid w:val="00475FD0"/>
    <w:rsid w:val="00476B0B"/>
    <w:rsid w:val="004777A6"/>
    <w:rsid w:val="004778A5"/>
    <w:rsid w:val="00477ADF"/>
    <w:rsid w:val="00477FF6"/>
    <w:rsid w:val="004806FA"/>
    <w:rsid w:val="00480B7B"/>
    <w:rsid w:val="00480FA7"/>
    <w:rsid w:val="0048179A"/>
    <w:rsid w:val="00481E57"/>
    <w:rsid w:val="0048213B"/>
    <w:rsid w:val="00482797"/>
    <w:rsid w:val="00482990"/>
    <w:rsid w:val="00482AF8"/>
    <w:rsid w:val="0048326A"/>
    <w:rsid w:val="00483720"/>
    <w:rsid w:val="00484751"/>
    <w:rsid w:val="00484C00"/>
    <w:rsid w:val="004855F9"/>
    <w:rsid w:val="004856FB"/>
    <w:rsid w:val="00485992"/>
    <w:rsid w:val="0048615D"/>
    <w:rsid w:val="0048668B"/>
    <w:rsid w:val="00486801"/>
    <w:rsid w:val="004872E6"/>
    <w:rsid w:val="00487672"/>
    <w:rsid w:val="00487B44"/>
    <w:rsid w:val="00487BBC"/>
    <w:rsid w:val="00490098"/>
    <w:rsid w:val="00490341"/>
    <w:rsid w:val="004908FA"/>
    <w:rsid w:val="00490E30"/>
    <w:rsid w:val="00490F87"/>
    <w:rsid w:val="00491CC4"/>
    <w:rsid w:val="00492217"/>
    <w:rsid w:val="00492603"/>
    <w:rsid w:val="004930B8"/>
    <w:rsid w:val="00494257"/>
    <w:rsid w:val="00494853"/>
    <w:rsid w:val="00494B73"/>
    <w:rsid w:val="00494C83"/>
    <w:rsid w:val="00494EFE"/>
    <w:rsid w:val="004950ED"/>
    <w:rsid w:val="00495809"/>
    <w:rsid w:val="00495933"/>
    <w:rsid w:val="00495CF4"/>
    <w:rsid w:val="00496178"/>
    <w:rsid w:val="004963EE"/>
    <w:rsid w:val="00496C2D"/>
    <w:rsid w:val="00496E0B"/>
    <w:rsid w:val="00496E22"/>
    <w:rsid w:val="00497018"/>
    <w:rsid w:val="004A09D7"/>
    <w:rsid w:val="004A10FE"/>
    <w:rsid w:val="004A181D"/>
    <w:rsid w:val="004A1831"/>
    <w:rsid w:val="004A1A3F"/>
    <w:rsid w:val="004A20DF"/>
    <w:rsid w:val="004A28E8"/>
    <w:rsid w:val="004A2AD6"/>
    <w:rsid w:val="004A2F39"/>
    <w:rsid w:val="004A3218"/>
    <w:rsid w:val="004A3929"/>
    <w:rsid w:val="004A3C78"/>
    <w:rsid w:val="004A46D5"/>
    <w:rsid w:val="004A4C09"/>
    <w:rsid w:val="004A4DD5"/>
    <w:rsid w:val="004A50E5"/>
    <w:rsid w:val="004A511D"/>
    <w:rsid w:val="004A54B6"/>
    <w:rsid w:val="004A5FB9"/>
    <w:rsid w:val="004A6322"/>
    <w:rsid w:val="004A67D2"/>
    <w:rsid w:val="004A701C"/>
    <w:rsid w:val="004A74A2"/>
    <w:rsid w:val="004A7C0E"/>
    <w:rsid w:val="004B0F24"/>
    <w:rsid w:val="004B2373"/>
    <w:rsid w:val="004B25FF"/>
    <w:rsid w:val="004B2FCA"/>
    <w:rsid w:val="004B33F5"/>
    <w:rsid w:val="004B3A6B"/>
    <w:rsid w:val="004B51E2"/>
    <w:rsid w:val="004B55E5"/>
    <w:rsid w:val="004B6139"/>
    <w:rsid w:val="004B6248"/>
    <w:rsid w:val="004B701D"/>
    <w:rsid w:val="004B72B6"/>
    <w:rsid w:val="004B7CA8"/>
    <w:rsid w:val="004C0F24"/>
    <w:rsid w:val="004C12FD"/>
    <w:rsid w:val="004C13DA"/>
    <w:rsid w:val="004C1883"/>
    <w:rsid w:val="004C2247"/>
    <w:rsid w:val="004C3541"/>
    <w:rsid w:val="004C39DA"/>
    <w:rsid w:val="004C40A3"/>
    <w:rsid w:val="004C4285"/>
    <w:rsid w:val="004C4949"/>
    <w:rsid w:val="004C4BC6"/>
    <w:rsid w:val="004C4C71"/>
    <w:rsid w:val="004C55EF"/>
    <w:rsid w:val="004C57AE"/>
    <w:rsid w:val="004C58E6"/>
    <w:rsid w:val="004C5D82"/>
    <w:rsid w:val="004C6165"/>
    <w:rsid w:val="004C65BA"/>
    <w:rsid w:val="004C670A"/>
    <w:rsid w:val="004C6B3C"/>
    <w:rsid w:val="004C6E9D"/>
    <w:rsid w:val="004C7100"/>
    <w:rsid w:val="004C7234"/>
    <w:rsid w:val="004C74F2"/>
    <w:rsid w:val="004C7C4B"/>
    <w:rsid w:val="004D0733"/>
    <w:rsid w:val="004D0737"/>
    <w:rsid w:val="004D0F16"/>
    <w:rsid w:val="004D15BF"/>
    <w:rsid w:val="004D1993"/>
    <w:rsid w:val="004D19A4"/>
    <w:rsid w:val="004D2401"/>
    <w:rsid w:val="004D2A38"/>
    <w:rsid w:val="004D2EA7"/>
    <w:rsid w:val="004D3458"/>
    <w:rsid w:val="004D3F8D"/>
    <w:rsid w:val="004D58E8"/>
    <w:rsid w:val="004D5E0B"/>
    <w:rsid w:val="004D6372"/>
    <w:rsid w:val="004D6836"/>
    <w:rsid w:val="004E0342"/>
    <w:rsid w:val="004E179C"/>
    <w:rsid w:val="004E24BC"/>
    <w:rsid w:val="004E2E1C"/>
    <w:rsid w:val="004E3058"/>
    <w:rsid w:val="004E3335"/>
    <w:rsid w:val="004E3546"/>
    <w:rsid w:val="004E37AD"/>
    <w:rsid w:val="004E4B76"/>
    <w:rsid w:val="004E4E66"/>
    <w:rsid w:val="004E506B"/>
    <w:rsid w:val="004E65F6"/>
    <w:rsid w:val="004E6B25"/>
    <w:rsid w:val="004E7184"/>
    <w:rsid w:val="004E755E"/>
    <w:rsid w:val="004E7581"/>
    <w:rsid w:val="004E7A74"/>
    <w:rsid w:val="004F0133"/>
    <w:rsid w:val="004F026B"/>
    <w:rsid w:val="004F2ED5"/>
    <w:rsid w:val="004F3384"/>
    <w:rsid w:val="004F3E63"/>
    <w:rsid w:val="004F46AC"/>
    <w:rsid w:val="004F4937"/>
    <w:rsid w:val="004F56D1"/>
    <w:rsid w:val="004F58BE"/>
    <w:rsid w:val="004F775B"/>
    <w:rsid w:val="0050089B"/>
    <w:rsid w:val="0050153B"/>
    <w:rsid w:val="005016DA"/>
    <w:rsid w:val="00501718"/>
    <w:rsid w:val="00501786"/>
    <w:rsid w:val="0050186D"/>
    <w:rsid w:val="005021B4"/>
    <w:rsid w:val="0050256B"/>
    <w:rsid w:val="0050289F"/>
    <w:rsid w:val="00502A85"/>
    <w:rsid w:val="0050304A"/>
    <w:rsid w:val="0050329E"/>
    <w:rsid w:val="00503542"/>
    <w:rsid w:val="005041E4"/>
    <w:rsid w:val="005048D0"/>
    <w:rsid w:val="00504A2B"/>
    <w:rsid w:val="00504D71"/>
    <w:rsid w:val="00505127"/>
    <w:rsid w:val="00506455"/>
    <w:rsid w:val="00506A0E"/>
    <w:rsid w:val="00506E03"/>
    <w:rsid w:val="005071ED"/>
    <w:rsid w:val="00507F22"/>
    <w:rsid w:val="00510414"/>
    <w:rsid w:val="00510B9B"/>
    <w:rsid w:val="00511E69"/>
    <w:rsid w:val="005121C2"/>
    <w:rsid w:val="005124F1"/>
    <w:rsid w:val="0051306F"/>
    <w:rsid w:val="0051367C"/>
    <w:rsid w:val="005136BC"/>
    <w:rsid w:val="0051375E"/>
    <w:rsid w:val="00513DF4"/>
    <w:rsid w:val="0051412B"/>
    <w:rsid w:val="00514459"/>
    <w:rsid w:val="005149B1"/>
    <w:rsid w:val="005152F7"/>
    <w:rsid w:val="00515E80"/>
    <w:rsid w:val="005161D2"/>
    <w:rsid w:val="005166DE"/>
    <w:rsid w:val="00516B3B"/>
    <w:rsid w:val="00516B47"/>
    <w:rsid w:val="00516EF7"/>
    <w:rsid w:val="005174D7"/>
    <w:rsid w:val="005175DF"/>
    <w:rsid w:val="00517A60"/>
    <w:rsid w:val="00517A7B"/>
    <w:rsid w:val="00517C81"/>
    <w:rsid w:val="00520F98"/>
    <w:rsid w:val="00521510"/>
    <w:rsid w:val="005215A7"/>
    <w:rsid w:val="00521AAC"/>
    <w:rsid w:val="00521F36"/>
    <w:rsid w:val="0052211C"/>
    <w:rsid w:val="005221F6"/>
    <w:rsid w:val="00522313"/>
    <w:rsid w:val="00522422"/>
    <w:rsid w:val="00522475"/>
    <w:rsid w:val="00523AC4"/>
    <w:rsid w:val="005252E3"/>
    <w:rsid w:val="0052585D"/>
    <w:rsid w:val="00526D1F"/>
    <w:rsid w:val="005273FE"/>
    <w:rsid w:val="00527672"/>
    <w:rsid w:val="00527D28"/>
    <w:rsid w:val="00527F05"/>
    <w:rsid w:val="005302A7"/>
    <w:rsid w:val="00530409"/>
    <w:rsid w:val="0053107C"/>
    <w:rsid w:val="005311FD"/>
    <w:rsid w:val="00531ABF"/>
    <w:rsid w:val="00532916"/>
    <w:rsid w:val="005329B3"/>
    <w:rsid w:val="005333FE"/>
    <w:rsid w:val="00533967"/>
    <w:rsid w:val="00534BA7"/>
    <w:rsid w:val="00534F86"/>
    <w:rsid w:val="0053545B"/>
    <w:rsid w:val="0053577B"/>
    <w:rsid w:val="005363D4"/>
    <w:rsid w:val="00536701"/>
    <w:rsid w:val="005404F2"/>
    <w:rsid w:val="0054067B"/>
    <w:rsid w:val="005406C3"/>
    <w:rsid w:val="00540996"/>
    <w:rsid w:val="00540FA3"/>
    <w:rsid w:val="005410B5"/>
    <w:rsid w:val="00541118"/>
    <w:rsid w:val="005419B8"/>
    <w:rsid w:val="00542414"/>
    <w:rsid w:val="00542EC6"/>
    <w:rsid w:val="005446E0"/>
    <w:rsid w:val="00544700"/>
    <w:rsid w:val="00545E35"/>
    <w:rsid w:val="00546D36"/>
    <w:rsid w:val="00547D2C"/>
    <w:rsid w:val="00551FBB"/>
    <w:rsid w:val="00552733"/>
    <w:rsid w:val="00552B7D"/>
    <w:rsid w:val="00552C3A"/>
    <w:rsid w:val="00553212"/>
    <w:rsid w:val="005558FE"/>
    <w:rsid w:val="00555E32"/>
    <w:rsid w:val="005560B4"/>
    <w:rsid w:val="00556629"/>
    <w:rsid w:val="0056163B"/>
    <w:rsid w:val="00561CEA"/>
    <w:rsid w:val="0056298F"/>
    <w:rsid w:val="00562E9A"/>
    <w:rsid w:val="005630AE"/>
    <w:rsid w:val="00563AAD"/>
    <w:rsid w:val="00565177"/>
    <w:rsid w:val="0056571D"/>
    <w:rsid w:val="00566A98"/>
    <w:rsid w:val="00566CA7"/>
    <w:rsid w:val="00566E16"/>
    <w:rsid w:val="0057005E"/>
    <w:rsid w:val="00570B0E"/>
    <w:rsid w:val="005711A8"/>
    <w:rsid w:val="00571859"/>
    <w:rsid w:val="005721C3"/>
    <w:rsid w:val="005723E6"/>
    <w:rsid w:val="0057294C"/>
    <w:rsid w:val="00572B6A"/>
    <w:rsid w:val="00572FDA"/>
    <w:rsid w:val="00573084"/>
    <w:rsid w:val="005731EF"/>
    <w:rsid w:val="0057353B"/>
    <w:rsid w:val="00573BC8"/>
    <w:rsid w:val="0057420C"/>
    <w:rsid w:val="00574513"/>
    <w:rsid w:val="00574DBB"/>
    <w:rsid w:val="0057566A"/>
    <w:rsid w:val="00576391"/>
    <w:rsid w:val="00576DA1"/>
    <w:rsid w:val="00577257"/>
    <w:rsid w:val="00577478"/>
    <w:rsid w:val="00577B94"/>
    <w:rsid w:val="00577BB4"/>
    <w:rsid w:val="00580055"/>
    <w:rsid w:val="0058026F"/>
    <w:rsid w:val="005816F9"/>
    <w:rsid w:val="005818D9"/>
    <w:rsid w:val="00581D82"/>
    <w:rsid w:val="00581E21"/>
    <w:rsid w:val="00582A8F"/>
    <w:rsid w:val="00582B46"/>
    <w:rsid w:val="00582EA0"/>
    <w:rsid w:val="00583061"/>
    <w:rsid w:val="00583167"/>
    <w:rsid w:val="00583A9F"/>
    <w:rsid w:val="00584424"/>
    <w:rsid w:val="00584EDA"/>
    <w:rsid w:val="00585114"/>
    <w:rsid w:val="005856D7"/>
    <w:rsid w:val="00585EF0"/>
    <w:rsid w:val="00586359"/>
    <w:rsid w:val="00587C53"/>
    <w:rsid w:val="005900F3"/>
    <w:rsid w:val="00590326"/>
    <w:rsid w:val="005905C4"/>
    <w:rsid w:val="00590C87"/>
    <w:rsid w:val="00591F3F"/>
    <w:rsid w:val="00592594"/>
    <w:rsid w:val="00592ECD"/>
    <w:rsid w:val="00593007"/>
    <w:rsid w:val="00594308"/>
    <w:rsid w:val="00594E76"/>
    <w:rsid w:val="005952E6"/>
    <w:rsid w:val="0059536E"/>
    <w:rsid w:val="005956BE"/>
    <w:rsid w:val="00595B78"/>
    <w:rsid w:val="00596DA4"/>
    <w:rsid w:val="00597082"/>
    <w:rsid w:val="0059722A"/>
    <w:rsid w:val="0059728B"/>
    <w:rsid w:val="005976EF"/>
    <w:rsid w:val="005A07EE"/>
    <w:rsid w:val="005A0FB4"/>
    <w:rsid w:val="005A1A83"/>
    <w:rsid w:val="005A1CA4"/>
    <w:rsid w:val="005A2393"/>
    <w:rsid w:val="005A24BC"/>
    <w:rsid w:val="005A2B19"/>
    <w:rsid w:val="005A30E1"/>
    <w:rsid w:val="005A3353"/>
    <w:rsid w:val="005A3AFA"/>
    <w:rsid w:val="005A3B8E"/>
    <w:rsid w:val="005A4140"/>
    <w:rsid w:val="005A4353"/>
    <w:rsid w:val="005A4557"/>
    <w:rsid w:val="005A478C"/>
    <w:rsid w:val="005A4E9E"/>
    <w:rsid w:val="005A5121"/>
    <w:rsid w:val="005A5EB1"/>
    <w:rsid w:val="005A5EDB"/>
    <w:rsid w:val="005A6199"/>
    <w:rsid w:val="005A6670"/>
    <w:rsid w:val="005A6736"/>
    <w:rsid w:val="005A6ABC"/>
    <w:rsid w:val="005A6F53"/>
    <w:rsid w:val="005A7522"/>
    <w:rsid w:val="005A7887"/>
    <w:rsid w:val="005B0965"/>
    <w:rsid w:val="005B0CD8"/>
    <w:rsid w:val="005B1158"/>
    <w:rsid w:val="005B11ED"/>
    <w:rsid w:val="005B16B1"/>
    <w:rsid w:val="005B248E"/>
    <w:rsid w:val="005B2AD0"/>
    <w:rsid w:val="005B3302"/>
    <w:rsid w:val="005B3EA8"/>
    <w:rsid w:val="005B5C86"/>
    <w:rsid w:val="005B5F25"/>
    <w:rsid w:val="005B6234"/>
    <w:rsid w:val="005B6283"/>
    <w:rsid w:val="005B6BE3"/>
    <w:rsid w:val="005B6FC5"/>
    <w:rsid w:val="005B7EC8"/>
    <w:rsid w:val="005B7EFC"/>
    <w:rsid w:val="005C0807"/>
    <w:rsid w:val="005C0F82"/>
    <w:rsid w:val="005C136C"/>
    <w:rsid w:val="005C204F"/>
    <w:rsid w:val="005C262B"/>
    <w:rsid w:val="005C2883"/>
    <w:rsid w:val="005C3677"/>
    <w:rsid w:val="005C39FB"/>
    <w:rsid w:val="005C3B2B"/>
    <w:rsid w:val="005C3E7B"/>
    <w:rsid w:val="005C458B"/>
    <w:rsid w:val="005C48DD"/>
    <w:rsid w:val="005C49B7"/>
    <w:rsid w:val="005C4BE5"/>
    <w:rsid w:val="005C4F16"/>
    <w:rsid w:val="005C4F5D"/>
    <w:rsid w:val="005C508B"/>
    <w:rsid w:val="005C5282"/>
    <w:rsid w:val="005C5375"/>
    <w:rsid w:val="005C551E"/>
    <w:rsid w:val="005C5C79"/>
    <w:rsid w:val="005C6110"/>
    <w:rsid w:val="005C6392"/>
    <w:rsid w:val="005C6B39"/>
    <w:rsid w:val="005C6B6E"/>
    <w:rsid w:val="005D0E1A"/>
    <w:rsid w:val="005D1BD0"/>
    <w:rsid w:val="005D221B"/>
    <w:rsid w:val="005D24F2"/>
    <w:rsid w:val="005D2589"/>
    <w:rsid w:val="005D27DD"/>
    <w:rsid w:val="005D2A22"/>
    <w:rsid w:val="005D394A"/>
    <w:rsid w:val="005D3D54"/>
    <w:rsid w:val="005D40AE"/>
    <w:rsid w:val="005D4FE6"/>
    <w:rsid w:val="005D6297"/>
    <w:rsid w:val="005D6395"/>
    <w:rsid w:val="005D712E"/>
    <w:rsid w:val="005D71BD"/>
    <w:rsid w:val="005E06C6"/>
    <w:rsid w:val="005E0B4E"/>
    <w:rsid w:val="005E1637"/>
    <w:rsid w:val="005E1BDF"/>
    <w:rsid w:val="005E24DA"/>
    <w:rsid w:val="005E2F43"/>
    <w:rsid w:val="005E3B1A"/>
    <w:rsid w:val="005E4042"/>
    <w:rsid w:val="005E4768"/>
    <w:rsid w:val="005E50C9"/>
    <w:rsid w:val="005E52D3"/>
    <w:rsid w:val="005E56A1"/>
    <w:rsid w:val="005E5C11"/>
    <w:rsid w:val="005E5E21"/>
    <w:rsid w:val="005E6167"/>
    <w:rsid w:val="005E67F2"/>
    <w:rsid w:val="005E6A76"/>
    <w:rsid w:val="005E6AA4"/>
    <w:rsid w:val="005F03FA"/>
    <w:rsid w:val="005F0515"/>
    <w:rsid w:val="005F0B5B"/>
    <w:rsid w:val="005F1A38"/>
    <w:rsid w:val="005F1A7F"/>
    <w:rsid w:val="005F1D5C"/>
    <w:rsid w:val="005F20FB"/>
    <w:rsid w:val="005F21BF"/>
    <w:rsid w:val="005F2451"/>
    <w:rsid w:val="005F26EE"/>
    <w:rsid w:val="005F2A78"/>
    <w:rsid w:val="005F50BE"/>
    <w:rsid w:val="005F5C53"/>
    <w:rsid w:val="005F6E6C"/>
    <w:rsid w:val="005F7607"/>
    <w:rsid w:val="00600099"/>
    <w:rsid w:val="00600140"/>
    <w:rsid w:val="00600DD7"/>
    <w:rsid w:val="0060114B"/>
    <w:rsid w:val="0060138A"/>
    <w:rsid w:val="00601732"/>
    <w:rsid w:val="00601752"/>
    <w:rsid w:val="00602610"/>
    <w:rsid w:val="006031DD"/>
    <w:rsid w:val="00603C7C"/>
    <w:rsid w:val="00604330"/>
    <w:rsid w:val="00604933"/>
    <w:rsid w:val="00605832"/>
    <w:rsid w:val="00605ACE"/>
    <w:rsid w:val="0060649F"/>
    <w:rsid w:val="00606C54"/>
    <w:rsid w:val="0060708C"/>
    <w:rsid w:val="006076A4"/>
    <w:rsid w:val="0060780A"/>
    <w:rsid w:val="0061059D"/>
    <w:rsid w:val="00610FF9"/>
    <w:rsid w:val="00611074"/>
    <w:rsid w:val="00611B80"/>
    <w:rsid w:val="00611DCA"/>
    <w:rsid w:val="00611FCF"/>
    <w:rsid w:val="00612407"/>
    <w:rsid w:val="00612CE0"/>
    <w:rsid w:val="00612F13"/>
    <w:rsid w:val="00613E69"/>
    <w:rsid w:val="00614D26"/>
    <w:rsid w:val="006152C1"/>
    <w:rsid w:val="0061581B"/>
    <w:rsid w:val="00615CBA"/>
    <w:rsid w:val="00615E61"/>
    <w:rsid w:val="00615EA6"/>
    <w:rsid w:val="00617737"/>
    <w:rsid w:val="006178F2"/>
    <w:rsid w:val="00620253"/>
    <w:rsid w:val="00620CD6"/>
    <w:rsid w:val="00620DA0"/>
    <w:rsid w:val="00622782"/>
    <w:rsid w:val="00622C37"/>
    <w:rsid w:val="006233E5"/>
    <w:rsid w:val="006237D2"/>
    <w:rsid w:val="00623AD2"/>
    <w:rsid w:val="00623B4F"/>
    <w:rsid w:val="006241DA"/>
    <w:rsid w:val="00624861"/>
    <w:rsid w:val="00624CDA"/>
    <w:rsid w:val="00624D33"/>
    <w:rsid w:val="00625151"/>
    <w:rsid w:val="006269D4"/>
    <w:rsid w:val="00626FD0"/>
    <w:rsid w:val="00627265"/>
    <w:rsid w:val="0062738A"/>
    <w:rsid w:val="0062757A"/>
    <w:rsid w:val="006308B0"/>
    <w:rsid w:val="00630E1F"/>
    <w:rsid w:val="00630EA0"/>
    <w:rsid w:val="006319C7"/>
    <w:rsid w:val="00631EE5"/>
    <w:rsid w:val="00632220"/>
    <w:rsid w:val="00633539"/>
    <w:rsid w:val="00633EFC"/>
    <w:rsid w:val="00635ABB"/>
    <w:rsid w:val="00636010"/>
    <w:rsid w:val="00637951"/>
    <w:rsid w:val="00640018"/>
    <w:rsid w:val="006404B9"/>
    <w:rsid w:val="00640D5C"/>
    <w:rsid w:val="006411F8"/>
    <w:rsid w:val="0064202F"/>
    <w:rsid w:val="00642535"/>
    <w:rsid w:val="00642765"/>
    <w:rsid w:val="00642D3A"/>
    <w:rsid w:val="0064307B"/>
    <w:rsid w:val="00643335"/>
    <w:rsid w:val="00643356"/>
    <w:rsid w:val="00643817"/>
    <w:rsid w:val="006447D5"/>
    <w:rsid w:val="00644828"/>
    <w:rsid w:val="0064552C"/>
    <w:rsid w:val="006457B2"/>
    <w:rsid w:val="006458AA"/>
    <w:rsid w:val="00645D53"/>
    <w:rsid w:val="006460FF"/>
    <w:rsid w:val="00646C27"/>
    <w:rsid w:val="00646D48"/>
    <w:rsid w:val="00646EEC"/>
    <w:rsid w:val="006470DC"/>
    <w:rsid w:val="006476A7"/>
    <w:rsid w:val="006478DB"/>
    <w:rsid w:val="00647BC8"/>
    <w:rsid w:val="00647CDB"/>
    <w:rsid w:val="00651378"/>
    <w:rsid w:val="006515DA"/>
    <w:rsid w:val="00651687"/>
    <w:rsid w:val="0065168E"/>
    <w:rsid w:val="00651A3B"/>
    <w:rsid w:val="00652887"/>
    <w:rsid w:val="00653044"/>
    <w:rsid w:val="00653FDB"/>
    <w:rsid w:val="006544BB"/>
    <w:rsid w:val="00655745"/>
    <w:rsid w:val="00655C1C"/>
    <w:rsid w:val="00656868"/>
    <w:rsid w:val="006569D9"/>
    <w:rsid w:val="00656A5C"/>
    <w:rsid w:val="00657961"/>
    <w:rsid w:val="00657BE8"/>
    <w:rsid w:val="00657CD3"/>
    <w:rsid w:val="0066024B"/>
    <w:rsid w:val="006603B2"/>
    <w:rsid w:val="00660798"/>
    <w:rsid w:val="00660CAF"/>
    <w:rsid w:val="00660DF2"/>
    <w:rsid w:val="00661CAA"/>
    <w:rsid w:val="00661D0F"/>
    <w:rsid w:val="00661D2C"/>
    <w:rsid w:val="0066222E"/>
    <w:rsid w:val="00662EBE"/>
    <w:rsid w:val="006636D9"/>
    <w:rsid w:val="006653DE"/>
    <w:rsid w:val="00665461"/>
    <w:rsid w:val="006659DF"/>
    <w:rsid w:val="00666276"/>
    <w:rsid w:val="006664B3"/>
    <w:rsid w:val="006666EE"/>
    <w:rsid w:val="00666C44"/>
    <w:rsid w:val="0066707B"/>
    <w:rsid w:val="00667329"/>
    <w:rsid w:val="00667C85"/>
    <w:rsid w:val="006704E6"/>
    <w:rsid w:val="00670579"/>
    <w:rsid w:val="00670B57"/>
    <w:rsid w:val="00670D50"/>
    <w:rsid w:val="00670DB2"/>
    <w:rsid w:val="00670E5C"/>
    <w:rsid w:val="00670E71"/>
    <w:rsid w:val="006721F0"/>
    <w:rsid w:val="00672484"/>
    <w:rsid w:val="00672B7B"/>
    <w:rsid w:val="0067354C"/>
    <w:rsid w:val="00673CF7"/>
    <w:rsid w:val="00673F4C"/>
    <w:rsid w:val="00674970"/>
    <w:rsid w:val="00675180"/>
    <w:rsid w:val="00675A3B"/>
    <w:rsid w:val="006764DE"/>
    <w:rsid w:val="0067662D"/>
    <w:rsid w:val="006803C4"/>
    <w:rsid w:val="00681313"/>
    <w:rsid w:val="00681353"/>
    <w:rsid w:val="006814B4"/>
    <w:rsid w:val="00683031"/>
    <w:rsid w:val="006832D9"/>
    <w:rsid w:val="006834D0"/>
    <w:rsid w:val="00683B74"/>
    <w:rsid w:val="006850A3"/>
    <w:rsid w:val="00686021"/>
    <w:rsid w:val="00686047"/>
    <w:rsid w:val="006866AD"/>
    <w:rsid w:val="00687DD2"/>
    <w:rsid w:val="00690638"/>
    <w:rsid w:val="006915C6"/>
    <w:rsid w:val="00691F7A"/>
    <w:rsid w:val="00692047"/>
    <w:rsid w:val="006926E8"/>
    <w:rsid w:val="006928C3"/>
    <w:rsid w:val="00692D4B"/>
    <w:rsid w:val="00693C84"/>
    <w:rsid w:val="0069431A"/>
    <w:rsid w:val="0069486A"/>
    <w:rsid w:val="006948D9"/>
    <w:rsid w:val="00694C45"/>
    <w:rsid w:val="0069549B"/>
    <w:rsid w:val="00695557"/>
    <w:rsid w:val="00695AC2"/>
    <w:rsid w:val="00696156"/>
    <w:rsid w:val="006968CF"/>
    <w:rsid w:val="00696907"/>
    <w:rsid w:val="00696BC4"/>
    <w:rsid w:val="00696EC7"/>
    <w:rsid w:val="00697096"/>
    <w:rsid w:val="00697342"/>
    <w:rsid w:val="006975F1"/>
    <w:rsid w:val="006A0175"/>
    <w:rsid w:val="006A024F"/>
    <w:rsid w:val="006A0B59"/>
    <w:rsid w:val="006A1775"/>
    <w:rsid w:val="006A17BA"/>
    <w:rsid w:val="006A185B"/>
    <w:rsid w:val="006A1FF9"/>
    <w:rsid w:val="006A209E"/>
    <w:rsid w:val="006A2A59"/>
    <w:rsid w:val="006A2CE1"/>
    <w:rsid w:val="006A3258"/>
    <w:rsid w:val="006A3594"/>
    <w:rsid w:val="006A3C1F"/>
    <w:rsid w:val="006A3D3B"/>
    <w:rsid w:val="006A4167"/>
    <w:rsid w:val="006A41DE"/>
    <w:rsid w:val="006A422F"/>
    <w:rsid w:val="006A439E"/>
    <w:rsid w:val="006A4489"/>
    <w:rsid w:val="006A47E5"/>
    <w:rsid w:val="006A4ADC"/>
    <w:rsid w:val="006A5384"/>
    <w:rsid w:val="006A53AF"/>
    <w:rsid w:val="006A57C4"/>
    <w:rsid w:val="006A658A"/>
    <w:rsid w:val="006A6827"/>
    <w:rsid w:val="006A6B7D"/>
    <w:rsid w:val="006A7EA2"/>
    <w:rsid w:val="006B02AD"/>
    <w:rsid w:val="006B08B6"/>
    <w:rsid w:val="006B093C"/>
    <w:rsid w:val="006B0AFE"/>
    <w:rsid w:val="006B126C"/>
    <w:rsid w:val="006B1E2B"/>
    <w:rsid w:val="006B220A"/>
    <w:rsid w:val="006B25B9"/>
    <w:rsid w:val="006B2625"/>
    <w:rsid w:val="006B3B8E"/>
    <w:rsid w:val="006B3E34"/>
    <w:rsid w:val="006B42C6"/>
    <w:rsid w:val="006B43B6"/>
    <w:rsid w:val="006B465D"/>
    <w:rsid w:val="006B4D91"/>
    <w:rsid w:val="006B51C5"/>
    <w:rsid w:val="006B68F6"/>
    <w:rsid w:val="006B6914"/>
    <w:rsid w:val="006B6C94"/>
    <w:rsid w:val="006B6D53"/>
    <w:rsid w:val="006B6F36"/>
    <w:rsid w:val="006B71D6"/>
    <w:rsid w:val="006B721A"/>
    <w:rsid w:val="006B7DC2"/>
    <w:rsid w:val="006C0460"/>
    <w:rsid w:val="006C059B"/>
    <w:rsid w:val="006C07B8"/>
    <w:rsid w:val="006C0A8F"/>
    <w:rsid w:val="006C16A4"/>
    <w:rsid w:val="006C1D0A"/>
    <w:rsid w:val="006C1D9E"/>
    <w:rsid w:val="006C1E4D"/>
    <w:rsid w:val="006C1F41"/>
    <w:rsid w:val="006C261A"/>
    <w:rsid w:val="006C2769"/>
    <w:rsid w:val="006C36E1"/>
    <w:rsid w:val="006C3CAB"/>
    <w:rsid w:val="006C41A1"/>
    <w:rsid w:val="006C4E16"/>
    <w:rsid w:val="006C5245"/>
    <w:rsid w:val="006C58AD"/>
    <w:rsid w:val="006C5F3A"/>
    <w:rsid w:val="006C650A"/>
    <w:rsid w:val="006C6A6D"/>
    <w:rsid w:val="006C6B63"/>
    <w:rsid w:val="006C7448"/>
    <w:rsid w:val="006D0342"/>
    <w:rsid w:val="006D0997"/>
    <w:rsid w:val="006D0B25"/>
    <w:rsid w:val="006D0D3A"/>
    <w:rsid w:val="006D0DCF"/>
    <w:rsid w:val="006D100B"/>
    <w:rsid w:val="006D13D1"/>
    <w:rsid w:val="006D13F6"/>
    <w:rsid w:val="006D15F3"/>
    <w:rsid w:val="006D1726"/>
    <w:rsid w:val="006D1D18"/>
    <w:rsid w:val="006D1FD0"/>
    <w:rsid w:val="006D4376"/>
    <w:rsid w:val="006D443D"/>
    <w:rsid w:val="006D54AD"/>
    <w:rsid w:val="006D5935"/>
    <w:rsid w:val="006D5A59"/>
    <w:rsid w:val="006D5A5E"/>
    <w:rsid w:val="006D5C54"/>
    <w:rsid w:val="006D6506"/>
    <w:rsid w:val="006D7ACE"/>
    <w:rsid w:val="006D7C6F"/>
    <w:rsid w:val="006D7F9B"/>
    <w:rsid w:val="006E0202"/>
    <w:rsid w:val="006E06C4"/>
    <w:rsid w:val="006E0F32"/>
    <w:rsid w:val="006E1CB2"/>
    <w:rsid w:val="006E1F04"/>
    <w:rsid w:val="006E22AC"/>
    <w:rsid w:val="006E28CB"/>
    <w:rsid w:val="006E323A"/>
    <w:rsid w:val="006E33C3"/>
    <w:rsid w:val="006E3515"/>
    <w:rsid w:val="006E3A0E"/>
    <w:rsid w:val="006E454B"/>
    <w:rsid w:val="006E4696"/>
    <w:rsid w:val="006E4CF7"/>
    <w:rsid w:val="006E599B"/>
    <w:rsid w:val="006E5F49"/>
    <w:rsid w:val="006E6B66"/>
    <w:rsid w:val="006E77F3"/>
    <w:rsid w:val="006E7BCA"/>
    <w:rsid w:val="006F007F"/>
    <w:rsid w:val="006F0562"/>
    <w:rsid w:val="006F06B9"/>
    <w:rsid w:val="006F0A15"/>
    <w:rsid w:val="006F0C4A"/>
    <w:rsid w:val="006F119A"/>
    <w:rsid w:val="006F1356"/>
    <w:rsid w:val="006F1725"/>
    <w:rsid w:val="006F1892"/>
    <w:rsid w:val="006F22ED"/>
    <w:rsid w:val="006F2535"/>
    <w:rsid w:val="006F383D"/>
    <w:rsid w:val="006F4093"/>
    <w:rsid w:val="006F4422"/>
    <w:rsid w:val="006F466F"/>
    <w:rsid w:val="006F47DA"/>
    <w:rsid w:val="006F4973"/>
    <w:rsid w:val="006F49EA"/>
    <w:rsid w:val="006F4EB4"/>
    <w:rsid w:val="006F5313"/>
    <w:rsid w:val="006F55F1"/>
    <w:rsid w:val="006F5C6F"/>
    <w:rsid w:val="006F62C7"/>
    <w:rsid w:val="006F6620"/>
    <w:rsid w:val="006F6FBF"/>
    <w:rsid w:val="006F735E"/>
    <w:rsid w:val="00700183"/>
    <w:rsid w:val="00700E5C"/>
    <w:rsid w:val="00701A04"/>
    <w:rsid w:val="00701AE0"/>
    <w:rsid w:val="00701CA8"/>
    <w:rsid w:val="00702219"/>
    <w:rsid w:val="00703531"/>
    <w:rsid w:val="00704308"/>
    <w:rsid w:val="00705169"/>
    <w:rsid w:val="007052CC"/>
    <w:rsid w:val="00705E2A"/>
    <w:rsid w:val="00705FF4"/>
    <w:rsid w:val="00706D3D"/>
    <w:rsid w:val="00707229"/>
    <w:rsid w:val="00707A62"/>
    <w:rsid w:val="00707CC0"/>
    <w:rsid w:val="00710976"/>
    <w:rsid w:val="00710F07"/>
    <w:rsid w:val="007112D1"/>
    <w:rsid w:val="00711CF3"/>
    <w:rsid w:val="00711D10"/>
    <w:rsid w:val="007120CB"/>
    <w:rsid w:val="007123E5"/>
    <w:rsid w:val="0071257C"/>
    <w:rsid w:val="00712B3E"/>
    <w:rsid w:val="007134D8"/>
    <w:rsid w:val="007141B7"/>
    <w:rsid w:val="007142FF"/>
    <w:rsid w:val="00715C75"/>
    <w:rsid w:val="0071639C"/>
    <w:rsid w:val="00717378"/>
    <w:rsid w:val="007203A4"/>
    <w:rsid w:val="007203FB"/>
    <w:rsid w:val="00720927"/>
    <w:rsid w:val="00720D58"/>
    <w:rsid w:val="007214D3"/>
    <w:rsid w:val="007220B7"/>
    <w:rsid w:val="007225FE"/>
    <w:rsid w:val="0072304C"/>
    <w:rsid w:val="0072312A"/>
    <w:rsid w:val="00723710"/>
    <w:rsid w:val="007249F1"/>
    <w:rsid w:val="00725088"/>
    <w:rsid w:val="007253B7"/>
    <w:rsid w:val="0072548F"/>
    <w:rsid w:val="007259C7"/>
    <w:rsid w:val="00726574"/>
    <w:rsid w:val="0072672E"/>
    <w:rsid w:val="00726EF5"/>
    <w:rsid w:val="00730031"/>
    <w:rsid w:val="00730503"/>
    <w:rsid w:val="00730557"/>
    <w:rsid w:val="00730A22"/>
    <w:rsid w:val="00730D8A"/>
    <w:rsid w:val="00730FDC"/>
    <w:rsid w:val="0073267D"/>
    <w:rsid w:val="00732859"/>
    <w:rsid w:val="0073310C"/>
    <w:rsid w:val="00733240"/>
    <w:rsid w:val="007350B4"/>
    <w:rsid w:val="00735A43"/>
    <w:rsid w:val="0073657F"/>
    <w:rsid w:val="00736B72"/>
    <w:rsid w:val="00736E70"/>
    <w:rsid w:val="00736F30"/>
    <w:rsid w:val="00737EFA"/>
    <w:rsid w:val="00740072"/>
    <w:rsid w:val="00740803"/>
    <w:rsid w:val="00740B4C"/>
    <w:rsid w:val="00741431"/>
    <w:rsid w:val="007418C8"/>
    <w:rsid w:val="00741BF0"/>
    <w:rsid w:val="00741E6D"/>
    <w:rsid w:val="00742306"/>
    <w:rsid w:val="007427D4"/>
    <w:rsid w:val="00742811"/>
    <w:rsid w:val="00743096"/>
    <w:rsid w:val="00743AA0"/>
    <w:rsid w:val="00743D55"/>
    <w:rsid w:val="00743E24"/>
    <w:rsid w:val="00743F3A"/>
    <w:rsid w:val="007449F2"/>
    <w:rsid w:val="00745B40"/>
    <w:rsid w:val="00745B6E"/>
    <w:rsid w:val="007460D4"/>
    <w:rsid w:val="00746B93"/>
    <w:rsid w:val="0074706C"/>
    <w:rsid w:val="00747A32"/>
    <w:rsid w:val="00747EE2"/>
    <w:rsid w:val="00751284"/>
    <w:rsid w:val="00751608"/>
    <w:rsid w:val="00752527"/>
    <w:rsid w:val="00753657"/>
    <w:rsid w:val="00753F51"/>
    <w:rsid w:val="007546F0"/>
    <w:rsid w:val="00754AB4"/>
    <w:rsid w:val="00754B1B"/>
    <w:rsid w:val="007550F2"/>
    <w:rsid w:val="00755EEE"/>
    <w:rsid w:val="00757213"/>
    <w:rsid w:val="00757E7D"/>
    <w:rsid w:val="00760030"/>
    <w:rsid w:val="0076026A"/>
    <w:rsid w:val="00761413"/>
    <w:rsid w:val="00761945"/>
    <w:rsid w:val="00761AF1"/>
    <w:rsid w:val="00761B2B"/>
    <w:rsid w:val="00761E59"/>
    <w:rsid w:val="00762492"/>
    <w:rsid w:val="00762795"/>
    <w:rsid w:val="007627D6"/>
    <w:rsid w:val="00763E24"/>
    <w:rsid w:val="007640A2"/>
    <w:rsid w:val="0076469D"/>
    <w:rsid w:val="00764C58"/>
    <w:rsid w:val="00765BFB"/>
    <w:rsid w:val="00766833"/>
    <w:rsid w:val="00767286"/>
    <w:rsid w:val="00767735"/>
    <w:rsid w:val="00767AAF"/>
    <w:rsid w:val="00767B9C"/>
    <w:rsid w:val="00767C9D"/>
    <w:rsid w:val="00767D5D"/>
    <w:rsid w:val="00767E21"/>
    <w:rsid w:val="00770605"/>
    <w:rsid w:val="0077071F"/>
    <w:rsid w:val="0077098A"/>
    <w:rsid w:val="00770ACE"/>
    <w:rsid w:val="00772444"/>
    <w:rsid w:val="0077255A"/>
    <w:rsid w:val="00772B3B"/>
    <w:rsid w:val="00772D3D"/>
    <w:rsid w:val="0077342F"/>
    <w:rsid w:val="00773815"/>
    <w:rsid w:val="00773844"/>
    <w:rsid w:val="007741CA"/>
    <w:rsid w:val="007743AF"/>
    <w:rsid w:val="00774456"/>
    <w:rsid w:val="00774977"/>
    <w:rsid w:val="00774A8E"/>
    <w:rsid w:val="00774F63"/>
    <w:rsid w:val="00775610"/>
    <w:rsid w:val="0077606E"/>
    <w:rsid w:val="00776976"/>
    <w:rsid w:val="00776CD5"/>
    <w:rsid w:val="007772FA"/>
    <w:rsid w:val="007775A8"/>
    <w:rsid w:val="00780056"/>
    <w:rsid w:val="007800BF"/>
    <w:rsid w:val="007803FD"/>
    <w:rsid w:val="0078044E"/>
    <w:rsid w:val="007806D3"/>
    <w:rsid w:val="00780812"/>
    <w:rsid w:val="007815D7"/>
    <w:rsid w:val="007820AF"/>
    <w:rsid w:val="00782328"/>
    <w:rsid w:val="00782E64"/>
    <w:rsid w:val="007833DC"/>
    <w:rsid w:val="0078349F"/>
    <w:rsid w:val="007838C7"/>
    <w:rsid w:val="0078414B"/>
    <w:rsid w:val="0078557A"/>
    <w:rsid w:val="00785827"/>
    <w:rsid w:val="00785F8E"/>
    <w:rsid w:val="007860F1"/>
    <w:rsid w:val="00786F15"/>
    <w:rsid w:val="00787980"/>
    <w:rsid w:val="007905BA"/>
    <w:rsid w:val="0079092B"/>
    <w:rsid w:val="00790AFF"/>
    <w:rsid w:val="0079130E"/>
    <w:rsid w:val="00791AFE"/>
    <w:rsid w:val="00791FA9"/>
    <w:rsid w:val="007925CC"/>
    <w:rsid w:val="00793024"/>
    <w:rsid w:val="007939F7"/>
    <w:rsid w:val="00793F5A"/>
    <w:rsid w:val="007940AC"/>
    <w:rsid w:val="00794BE9"/>
    <w:rsid w:val="00794C46"/>
    <w:rsid w:val="0079513F"/>
    <w:rsid w:val="007956C5"/>
    <w:rsid w:val="0079575E"/>
    <w:rsid w:val="0079592D"/>
    <w:rsid w:val="00795C55"/>
    <w:rsid w:val="00795CB6"/>
    <w:rsid w:val="00797D8D"/>
    <w:rsid w:val="00797EA5"/>
    <w:rsid w:val="007A036A"/>
    <w:rsid w:val="007A03BD"/>
    <w:rsid w:val="007A0C78"/>
    <w:rsid w:val="007A0CD5"/>
    <w:rsid w:val="007A0CDB"/>
    <w:rsid w:val="007A2496"/>
    <w:rsid w:val="007A2690"/>
    <w:rsid w:val="007A28DB"/>
    <w:rsid w:val="007A2CD5"/>
    <w:rsid w:val="007A30C7"/>
    <w:rsid w:val="007A3E86"/>
    <w:rsid w:val="007A4FCD"/>
    <w:rsid w:val="007A60C7"/>
    <w:rsid w:val="007A649B"/>
    <w:rsid w:val="007A6BDC"/>
    <w:rsid w:val="007A7284"/>
    <w:rsid w:val="007B07D8"/>
    <w:rsid w:val="007B0EA9"/>
    <w:rsid w:val="007B1581"/>
    <w:rsid w:val="007B16E1"/>
    <w:rsid w:val="007B235C"/>
    <w:rsid w:val="007B26F6"/>
    <w:rsid w:val="007B2700"/>
    <w:rsid w:val="007B27A4"/>
    <w:rsid w:val="007B287E"/>
    <w:rsid w:val="007B2C93"/>
    <w:rsid w:val="007B356A"/>
    <w:rsid w:val="007B4952"/>
    <w:rsid w:val="007B4A6F"/>
    <w:rsid w:val="007B4D17"/>
    <w:rsid w:val="007B4D38"/>
    <w:rsid w:val="007B508A"/>
    <w:rsid w:val="007B5851"/>
    <w:rsid w:val="007B5BE1"/>
    <w:rsid w:val="007B5EB0"/>
    <w:rsid w:val="007B7E80"/>
    <w:rsid w:val="007B7ED9"/>
    <w:rsid w:val="007C0049"/>
    <w:rsid w:val="007C022D"/>
    <w:rsid w:val="007C0577"/>
    <w:rsid w:val="007C0AD3"/>
    <w:rsid w:val="007C0FC8"/>
    <w:rsid w:val="007C24F4"/>
    <w:rsid w:val="007C2BCA"/>
    <w:rsid w:val="007C2D1F"/>
    <w:rsid w:val="007C3C49"/>
    <w:rsid w:val="007C4270"/>
    <w:rsid w:val="007C46B8"/>
    <w:rsid w:val="007C4981"/>
    <w:rsid w:val="007C4BB6"/>
    <w:rsid w:val="007C4D03"/>
    <w:rsid w:val="007C5DD7"/>
    <w:rsid w:val="007C6632"/>
    <w:rsid w:val="007C6E32"/>
    <w:rsid w:val="007C7148"/>
    <w:rsid w:val="007C726D"/>
    <w:rsid w:val="007C7644"/>
    <w:rsid w:val="007C78AF"/>
    <w:rsid w:val="007C7C10"/>
    <w:rsid w:val="007D12AE"/>
    <w:rsid w:val="007D2346"/>
    <w:rsid w:val="007D2499"/>
    <w:rsid w:val="007D24DE"/>
    <w:rsid w:val="007D3381"/>
    <w:rsid w:val="007D3498"/>
    <w:rsid w:val="007D3DCC"/>
    <w:rsid w:val="007D465D"/>
    <w:rsid w:val="007D662D"/>
    <w:rsid w:val="007D670C"/>
    <w:rsid w:val="007D740F"/>
    <w:rsid w:val="007D7528"/>
    <w:rsid w:val="007D7838"/>
    <w:rsid w:val="007E0996"/>
    <w:rsid w:val="007E0B3B"/>
    <w:rsid w:val="007E11EC"/>
    <w:rsid w:val="007E3380"/>
    <w:rsid w:val="007E34A5"/>
    <w:rsid w:val="007E3EED"/>
    <w:rsid w:val="007E42D6"/>
    <w:rsid w:val="007E4415"/>
    <w:rsid w:val="007E4620"/>
    <w:rsid w:val="007E6B3A"/>
    <w:rsid w:val="007E7122"/>
    <w:rsid w:val="007E7CFC"/>
    <w:rsid w:val="007F05DA"/>
    <w:rsid w:val="007F0B57"/>
    <w:rsid w:val="007F0E64"/>
    <w:rsid w:val="007F13AA"/>
    <w:rsid w:val="007F1A7D"/>
    <w:rsid w:val="007F1F06"/>
    <w:rsid w:val="007F2398"/>
    <w:rsid w:val="007F2CB9"/>
    <w:rsid w:val="007F3025"/>
    <w:rsid w:val="007F3B23"/>
    <w:rsid w:val="007F3F78"/>
    <w:rsid w:val="007F4631"/>
    <w:rsid w:val="007F46A8"/>
    <w:rsid w:val="007F4803"/>
    <w:rsid w:val="007F4C52"/>
    <w:rsid w:val="007F517F"/>
    <w:rsid w:val="007F5594"/>
    <w:rsid w:val="007F5D4F"/>
    <w:rsid w:val="007F68C9"/>
    <w:rsid w:val="007F6BA5"/>
    <w:rsid w:val="007F6FAC"/>
    <w:rsid w:val="007F702F"/>
    <w:rsid w:val="007F70A1"/>
    <w:rsid w:val="007F7C10"/>
    <w:rsid w:val="007F7C79"/>
    <w:rsid w:val="008001FF"/>
    <w:rsid w:val="008004DB"/>
    <w:rsid w:val="00800541"/>
    <w:rsid w:val="00800A6C"/>
    <w:rsid w:val="00801211"/>
    <w:rsid w:val="008022FC"/>
    <w:rsid w:val="00802D65"/>
    <w:rsid w:val="00803809"/>
    <w:rsid w:val="00803F94"/>
    <w:rsid w:val="0080487F"/>
    <w:rsid w:val="00804EB1"/>
    <w:rsid w:val="00805679"/>
    <w:rsid w:val="00805D27"/>
    <w:rsid w:val="00805D3C"/>
    <w:rsid w:val="008064BD"/>
    <w:rsid w:val="008076A3"/>
    <w:rsid w:val="0080773E"/>
    <w:rsid w:val="008102CE"/>
    <w:rsid w:val="00810903"/>
    <w:rsid w:val="00811D6E"/>
    <w:rsid w:val="00811E2E"/>
    <w:rsid w:val="00812389"/>
    <w:rsid w:val="00812737"/>
    <w:rsid w:val="00812FDE"/>
    <w:rsid w:val="00813197"/>
    <w:rsid w:val="0081540E"/>
    <w:rsid w:val="0081561F"/>
    <w:rsid w:val="0081565B"/>
    <w:rsid w:val="0081584F"/>
    <w:rsid w:val="00815FEC"/>
    <w:rsid w:val="00816290"/>
    <w:rsid w:val="00816843"/>
    <w:rsid w:val="00816C1E"/>
    <w:rsid w:val="00816DE5"/>
    <w:rsid w:val="008170C6"/>
    <w:rsid w:val="00817848"/>
    <w:rsid w:val="00817FA5"/>
    <w:rsid w:val="00817FEA"/>
    <w:rsid w:val="00820406"/>
    <w:rsid w:val="00820B77"/>
    <w:rsid w:val="008219E6"/>
    <w:rsid w:val="00821AE3"/>
    <w:rsid w:val="0082240A"/>
    <w:rsid w:val="00822C2A"/>
    <w:rsid w:val="00823723"/>
    <w:rsid w:val="00824014"/>
    <w:rsid w:val="008248A1"/>
    <w:rsid w:val="00825F38"/>
    <w:rsid w:val="00825F7D"/>
    <w:rsid w:val="008261F1"/>
    <w:rsid w:val="00826B39"/>
    <w:rsid w:val="00827B3A"/>
    <w:rsid w:val="00830E64"/>
    <w:rsid w:val="008318D8"/>
    <w:rsid w:val="008319F8"/>
    <w:rsid w:val="00831DAF"/>
    <w:rsid w:val="008320CC"/>
    <w:rsid w:val="00832915"/>
    <w:rsid w:val="00832A66"/>
    <w:rsid w:val="00832FBA"/>
    <w:rsid w:val="008347AE"/>
    <w:rsid w:val="00834928"/>
    <w:rsid w:val="00835592"/>
    <w:rsid w:val="00835ADA"/>
    <w:rsid w:val="00835D0B"/>
    <w:rsid w:val="008367F8"/>
    <w:rsid w:val="00836BFD"/>
    <w:rsid w:val="00836C55"/>
    <w:rsid w:val="00837962"/>
    <w:rsid w:val="00840C4C"/>
    <w:rsid w:val="008428ED"/>
    <w:rsid w:val="00842E5D"/>
    <w:rsid w:val="0084346A"/>
    <w:rsid w:val="00843A17"/>
    <w:rsid w:val="00843D00"/>
    <w:rsid w:val="008440C8"/>
    <w:rsid w:val="00844281"/>
    <w:rsid w:val="0084463B"/>
    <w:rsid w:val="008448F6"/>
    <w:rsid w:val="0084497D"/>
    <w:rsid w:val="00844A9A"/>
    <w:rsid w:val="008451EE"/>
    <w:rsid w:val="0084542A"/>
    <w:rsid w:val="00845AF0"/>
    <w:rsid w:val="00845E5B"/>
    <w:rsid w:val="00845FEE"/>
    <w:rsid w:val="008460D6"/>
    <w:rsid w:val="00846135"/>
    <w:rsid w:val="008465C8"/>
    <w:rsid w:val="00846BDF"/>
    <w:rsid w:val="008471B8"/>
    <w:rsid w:val="00847662"/>
    <w:rsid w:val="0085021D"/>
    <w:rsid w:val="00850956"/>
    <w:rsid w:val="00851478"/>
    <w:rsid w:val="0085270B"/>
    <w:rsid w:val="00852982"/>
    <w:rsid w:val="00852B39"/>
    <w:rsid w:val="00852DA4"/>
    <w:rsid w:val="008537E2"/>
    <w:rsid w:val="00853B72"/>
    <w:rsid w:val="00854684"/>
    <w:rsid w:val="008549F2"/>
    <w:rsid w:val="00854B49"/>
    <w:rsid w:val="008557D2"/>
    <w:rsid w:val="00855F62"/>
    <w:rsid w:val="00856EA6"/>
    <w:rsid w:val="008570C6"/>
    <w:rsid w:val="00857282"/>
    <w:rsid w:val="008572E1"/>
    <w:rsid w:val="00857396"/>
    <w:rsid w:val="0085769C"/>
    <w:rsid w:val="008602A0"/>
    <w:rsid w:val="00860949"/>
    <w:rsid w:val="00860B2E"/>
    <w:rsid w:val="00861520"/>
    <w:rsid w:val="008615BE"/>
    <w:rsid w:val="008617C1"/>
    <w:rsid w:val="00861C12"/>
    <w:rsid w:val="00861E9F"/>
    <w:rsid w:val="008623EB"/>
    <w:rsid w:val="008630A6"/>
    <w:rsid w:val="0086318C"/>
    <w:rsid w:val="0086372A"/>
    <w:rsid w:val="00863838"/>
    <w:rsid w:val="00863853"/>
    <w:rsid w:val="008644BC"/>
    <w:rsid w:val="0086468B"/>
    <w:rsid w:val="00864C5F"/>
    <w:rsid w:val="00865840"/>
    <w:rsid w:val="00865A4F"/>
    <w:rsid w:val="0086640B"/>
    <w:rsid w:val="00867BCC"/>
    <w:rsid w:val="00867DD2"/>
    <w:rsid w:val="0087085E"/>
    <w:rsid w:val="00871F52"/>
    <w:rsid w:val="00872059"/>
    <w:rsid w:val="008729D2"/>
    <w:rsid w:val="0087312A"/>
    <w:rsid w:val="008743F7"/>
    <w:rsid w:val="00874CF9"/>
    <w:rsid w:val="00874F59"/>
    <w:rsid w:val="008755DD"/>
    <w:rsid w:val="00876FA9"/>
    <w:rsid w:val="00877B04"/>
    <w:rsid w:val="008802B3"/>
    <w:rsid w:val="00880F00"/>
    <w:rsid w:val="00881013"/>
    <w:rsid w:val="00881139"/>
    <w:rsid w:val="00881B5A"/>
    <w:rsid w:val="00881E2C"/>
    <w:rsid w:val="00882415"/>
    <w:rsid w:val="008824E8"/>
    <w:rsid w:val="0088252A"/>
    <w:rsid w:val="00883158"/>
    <w:rsid w:val="0088322C"/>
    <w:rsid w:val="0088332D"/>
    <w:rsid w:val="008846E1"/>
    <w:rsid w:val="00884D77"/>
    <w:rsid w:val="008854E9"/>
    <w:rsid w:val="0088594D"/>
    <w:rsid w:val="00885F7C"/>
    <w:rsid w:val="00886D85"/>
    <w:rsid w:val="008876AA"/>
    <w:rsid w:val="0088799A"/>
    <w:rsid w:val="00887E0C"/>
    <w:rsid w:val="00890150"/>
    <w:rsid w:val="008901B9"/>
    <w:rsid w:val="008902B4"/>
    <w:rsid w:val="008910A4"/>
    <w:rsid w:val="0089275A"/>
    <w:rsid w:val="00893271"/>
    <w:rsid w:val="00894DBF"/>
    <w:rsid w:val="00894EF0"/>
    <w:rsid w:val="00894F64"/>
    <w:rsid w:val="00895899"/>
    <w:rsid w:val="00895CC9"/>
    <w:rsid w:val="0089633D"/>
    <w:rsid w:val="00896D01"/>
    <w:rsid w:val="00897490"/>
    <w:rsid w:val="008979A7"/>
    <w:rsid w:val="00897ABD"/>
    <w:rsid w:val="008A0181"/>
    <w:rsid w:val="008A0E59"/>
    <w:rsid w:val="008A106C"/>
    <w:rsid w:val="008A1282"/>
    <w:rsid w:val="008A186B"/>
    <w:rsid w:val="008A19F2"/>
    <w:rsid w:val="008A1C21"/>
    <w:rsid w:val="008A1C30"/>
    <w:rsid w:val="008A1EB5"/>
    <w:rsid w:val="008A2463"/>
    <w:rsid w:val="008A271B"/>
    <w:rsid w:val="008A2E57"/>
    <w:rsid w:val="008A3684"/>
    <w:rsid w:val="008A3832"/>
    <w:rsid w:val="008A3994"/>
    <w:rsid w:val="008A3DF4"/>
    <w:rsid w:val="008A40EC"/>
    <w:rsid w:val="008A4F19"/>
    <w:rsid w:val="008A59EE"/>
    <w:rsid w:val="008A5BE5"/>
    <w:rsid w:val="008A5E59"/>
    <w:rsid w:val="008A68B7"/>
    <w:rsid w:val="008A6DB1"/>
    <w:rsid w:val="008A7836"/>
    <w:rsid w:val="008A7ACB"/>
    <w:rsid w:val="008B027F"/>
    <w:rsid w:val="008B04F6"/>
    <w:rsid w:val="008B06CF"/>
    <w:rsid w:val="008B136D"/>
    <w:rsid w:val="008B14D2"/>
    <w:rsid w:val="008B14D4"/>
    <w:rsid w:val="008B264D"/>
    <w:rsid w:val="008B2C45"/>
    <w:rsid w:val="008B2CE0"/>
    <w:rsid w:val="008B2F96"/>
    <w:rsid w:val="008B3A93"/>
    <w:rsid w:val="008B41FC"/>
    <w:rsid w:val="008B46B0"/>
    <w:rsid w:val="008B4AAE"/>
    <w:rsid w:val="008B5993"/>
    <w:rsid w:val="008B5B64"/>
    <w:rsid w:val="008B6DEB"/>
    <w:rsid w:val="008B6F7F"/>
    <w:rsid w:val="008B7059"/>
    <w:rsid w:val="008B7238"/>
    <w:rsid w:val="008C0122"/>
    <w:rsid w:val="008C039D"/>
    <w:rsid w:val="008C0A04"/>
    <w:rsid w:val="008C1152"/>
    <w:rsid w:val="008C1157"/>
    <w:rsid w:val="008C1D33"/>
    <w:rsid w:val="008C23A9"/>
    <w:rsid w:val="008C274B"/>
    <w:rsid w:val="008C307F"/>
    <w:rsid w:val="008C513C"/>
    <w:rsid w:val="008C5847"/>
    <w:rsid w:val="008C6655"/>
    <w:rsid w:val="008C6A92"/>
    <w:rsid w:val="008C70B7"/>
    <w:rsid w:val="008C7358"/>
    <w:rsid w:val="008D0AD1"/>
    <w:rsid w:val="008D0D6E"/>
    <w:rsid w:val="008D0DEB"/>
    <w:rsid w:val="008D10FF"/>
    <w:rsid w:val="008D1459"/>
    <w:rsid w:val="008D17AE"/>
    <w:rsid w:val="008D1851"/>
    <w:rsid w:val="008D19AE"/>
    <w:rsid w:val="008D23C3"/>
    <w:rsid w:val="008D2602"/>
    <w:rsid w:val="008D27BD"/>
    <w:rsid w:val="008D2E29"/>
    <w:rsid w:val="008D2E4C"/>
    <w:rsid w:val="008D3363"/>
    <w:rsid w:val="008D342A"/>
    <w:rsid w:val="008D3EA3"/>
    <w:rsid w:val="008D407E"/>
    <w:rsid w:val="008D45DF"/>
    <w:rsid w:val="008D4671"/>
    <w:rsid w:val="008D64D3"/>
    <w:rsid w:val="008D676E"/>
    <w:rsid w:val="008D6A71"/>
    <w:rsid w:val="008D6AB4"/>
    <w:rsid w:val="008D6CA5"/>
    <w:rsid w:val="008D72D5"/>
    <w:rsid w:val="008E03C1"/>
    <w:rsid w:val="008E0F05"/>
    <w:rsid w:val="008E12CB"/>
    <w:rsid w:val="008E1449"/>
    <w:rsid w:val="008E1D4D"/>
    <w:rsid w:val="008E23B2"/>
    <w:rsid w:val="008E2F38"/>
    <w:rsid w:val="008E38E0"/>
    <w:rsid w:val="008E4C59"/>
    <w:rsid w:val="008E4D20"/>
    <w:rsid w:val="008E552D"/>
    <w:rsid w:val="008E55C8"/>
    <w:rsid w:val="008E58D7"/>
    <w:rsid w:val="008E5CD3"/>
    <w:rsid w:val="008E5DCB"/>
    <w:rsid w:val="008E68E1"/>
    <w:rsid w:val="008E6A03"/>
    <w:rsid w:val="008E7C52"/>
    <w:rsid w:val="008F08E7"/>
    <w:rsid w:val="008F0C87"/>
    <w:rsid w:val="008F0D89"/>
    <w:rsid w:val="008F0D8B"/>
    <w:rsid w:val="008F0F32"/>
    <w:rsid w:val="008F1049"/>
    <w:rsid w:val="008F1249"/>
    <w:rsid w:val="008F1FF8"/>
    <w:rsid w:val="008F2262"/>
    <w:rsid w:val="008F2A56"/>
    <w:rsid w:val="008F3542"/>
    <w:rsid w:val="008F37C5"/>
    <w:rsid w:val="008F4508"/>
    <w:rsid w:val="008F45F7"/>
    <w:rsid w:val="008F52D3"/>
    <w:rsid w:val="008F5B3D"/>
    <w:rsid w:val="008F66B1"/>
    <w:rsid w:val="008F6821"/>
    <w:rsid w:val="008F74BB"/>
    <w:rsid w:val="008F7A4E"/>
    <w:rsid w:val="008F7A7A"/>
    <w:rsid w:val="008F7BC4"/>
    <w:rsid w:val="00900989"/>
    <w:rsid w:val="00900A7E"/>
    <w:rsid w:val="009018CC"/>
    <w:rsid w:val="009019E6"/>
    <w:rsid w:val="00901A61"/>
    <w:rsid w:val="00901E3D"/>
    <w:rsid w:val="009021BF"/>
    <w:rsid w:val="00902453"/>
    <w:rsid w:val="009026AC"/>
    <w:rsid w:val="00903526"/>
    <w:rsid w:val="00903851"/>
    <w:rsid w:val="00904E53"/>
    <w:rsid w:val="009053B7"/>
    <w:rsid w:val="00905CFB"/>
    <w:rsid w:val="00905D6A"/>
    <w:rsid w:val="00906772"/>
    <w:rsid w:val="00906E4F"/>
    <w:rsid w:val="00907004"/>
    <w:rsid w:val="00907319"/>
    <w:rsid w:val="00907DEF"/>
    <w:rsid w:val="00910714"/>
    <w:rsid w:val="00911028"/>
    <w:rsid w:val="00912620"/>
    <w:rsid w:val="009128A5"/>
    <w:rsid w:val="00912D6C"/>
    <w:rsid w:val="0091335A"/>
    <w:rsid w:val="00913801"/>
    <w:rsid w:val="00913FB7"/>
    <w:rsid w:val="00914424"/>
    <w:rsid w:val="00914A92"/>
    <w:rsid w:val="00914BB1"/>
    <w:rsid w:val="00914CFA"/>
    <w:rsid w:val="00915715"/>
    <w:rsid w:val="00915E28"/>
    <w:rsid w:val="00916715"/>
    <w:rsid w:val="0091681D"/>
    <w:rsid w:val="0091695B"/>
    <w:rsid w:val="00916BE0"/>
    <w:rsid w:val="009172A3"/>
    <w:rsid w:val="009175AD"/>
    <w:rsid w:val="009178CF"/>
    <w:rsid w:val="0091791B"/>
    <w:rsid w:val="00917C38"/>
    <w:rsid w:val="00917EFC"/>
    <w:rsid w:val="009201BE"/>
    <w:rsid w:val="00920CA4"/>
    <w:rsid w:val="00920DA7"/>
    <w:rsid w:val="00920EE0"/>
    <w:rsid w:val="00921569"/>
    <w:rsid w:val="0092274E"/>
    <w:rsid w:val="0092323C"/>
    <w:rsid w:val="00923938"/>
    <w:rsid w:val="00923AC7"/>
    <w:rsid w:val="00923F56"/>
    <w:rsid w:val="00924761"/>
    <w:rsid w:val="009249DF"/>
    <w:rsid w:val="009251B7"/>
    <w:rsid w:val="0092535F"/>
    <w:rsid w:val="00925529"/>
    <w:rsid w:val="009257EE"/>
    <w:rsid w:val="00925841"/>
    <w:rsid w:val="00925E95"/>
    <w:rsid w:val="00926A37"/>
    <w:rsid w:val="0092747C"/>
    <w:rsid w:val="00927608"/>
    <w:rsid w:val="00931F5B"/>
    <w:rsid w:val="009328BA"/>
    <w:rsid w:val="009328C5"/>
    <w:rsid w:val="00932C68"/>
    <w:rsid w:val="0093352F"/>
    <w:rsid w:val="00933811"/>
    <w:rsid w:val="0093389C"/>
    <w:rsid w:val="0093412B"/>
    <w:rsid w:val="00934264"/>
    <w:rsid w:val="00934821"/>
    <w:rsid w:val="009349A9"/>
    <w:rsid w:val="00934BA4"/>
    <w:rsid w:val="0093596E"/>
    <w:rsid w:val="00935DEB"/>
    <w:rsid w:val="00936895"/>
    <w:rsid w:val="009368AC"/>
    <w:rsid w:val="00936C7E"/>
    <w:rsid w:val="00937F58"/>
    <w:rsid w:val="0094016E"/>
    <w:rsid w:val="009410C3"/>
    <w:rsid w:val="00941516"/>
    <w:rsid w:val="00941A32"/>
    <w:rsid w:val="00941DF4"/>
    <w:rsid w:val="00943A9E"/>
    <w:rsid w:val="00943D5F"/>
    <w:rsid w:val="009441B6"/>
    <w:rsid w:val="009447DB"/>
    <w:rsid w:val="009449BA"/>
    <w:rsid w:val="00944D0D"/>
    <w:rsid w:val="00944E2C"/>
    <w:rsid w:val="00944EB0"/>
    <w:rsid w:val="00945E71"/>
    <w:rsid w:val="00945F56"/>
    <w:rsid w:val="00946DF8"/>
    <w:rsid w:val="00946E6F"/>
    <w:rsid w:val="009477AC"/>
    <w:rsid w:val="00947A0A"/>
    <w:rsid w:val="009511A0"/>
    <w:rsid w:val="0095120B"/>
    <w:rsid w:val="009512FC"/>
    <w:rsid w:val="0095238C"/>
    <w:rsid w:val="009524E0"/>
    <w:rsid w:val="00954573"/>
    <w:rsid w:val="00954783"/>
    <w:rsid w:val="009547C9"/>
    <w:rsid w:val="00954B04"/>
    <w:rsid w:val="00954FDF"/>
    <w:rsid w:val="0095505B"/>
    <w:rsid w:val="00955111"/>
    <w:rsid w:val="009551C8"/>
    <w:rsid w:val="00955306"/>
    <w:rsid w:val="00955FB2"/>
    <w:rsid w:val="009563D9"/>
    <w:rsid w:val="00956DA5"/>
    <w:rsid w:val="00956F61"/>
    <w:rsid w:val="00957103"/>
    <w:rsid w:val="00957A04"/>
    <w:rsid w:val="009601B0"/>
    <w:rsid w:val="009617E6"/>
    <w:rsid w:val="0096210C"/>
    <w:rsid w:val="00962AC3"/>
    <w:rsid w:val="00963235"/>
    <w:rsid w:val="0096336F"/>
    <w:rsid w:val="00963594"/>
    <w:rsid w:val="009635BB"/>
    <w:rsid w:val="00963680"/>
    <w:rsid w:val="009638AA"/>
    <w:rsid w:val="00964144"/>
    <w:rsid w:val="00964509"/>
    <w:rsid w:val="00965291"/>
    <w:rsid w:val="009655DA"/>
    <w:rsid w:val="00966114"/>
    <w:rsid w:val="00967181"/>
    <w:rsid w:val="00967F19"/>
    <w:rsid w:val="00970553"/>
    <w:rsid w:val="00970FA0"/>
    <w:rsid w:val="009714F4"/>
    <w:rsid w:val="0097174A"/>
    <w:rsid w:val="00972480"/>
    <w:rsid w:val="009724B4"/>
    <w:rsid w:val="009724F4"/>
    <w:rsid w:val="00972E2A"/>
    <w:rsid w:val="0097315B"/>
    <w:rsid w:val="00973B3B"/>
    <w:rsid w:val="00973DC8"/>
    <w:rsid w:val="00973FB8"/>
    <w:rsid w:val="00974443"/>
    <w:rsid w:val="00974B12"/>
    <w:rsid w:val="0097548D"/>
    <w:rsid w:val="0097672D"/>
    <w:rsid w:val="009768E3"/>
    <w:rsid w:val="00976924"/>
    <w:rsid w:val="00977C48"/>
    <w:rsid w:val="00980027"/>
    <w:rsid w:val="009806FA"/>
    <w:rsid w:val="00981B40"/>
    <w:rsid w:val="00983138"/>
    <w:rsid w:val="00984E5B"/>
    <w:rsid w:val="00986477"/>
    <w:rsid w:val="00986750"/>
    <w:rsid w:val="00990451"/>
    <w:rsid w:val="0099049C"/>
    <w:rsid w:val="009905E1"/>
    <w:rsid w:val="0099065B"/>
    <w:rsid w:val="0099147E"/>
    <w:rsid w:val="009919DA"/>
    <w:rsid w:val="009925F9"/>
    <w:rsid w:val="009929D2"/>
    <w:rsid w:val="009930AF"/>
    <w:rsid w:val="0099384F"/>
    <w:rsid w:val="009940EB"/>
    <w:rsid w:val="0099480A"/>
    <w:rsid w:val="00994D74"/>
    <w:rsid w:val="00995761"/>
    <w:rsid w:val="00996373"/>
    <w:rsid w:val="0099664D"/>
    <w:rsid w:val="00996786"/>
    <w:rsid w:val="0099692A"/>
    <w:rsid w:val="00996A33"/>
    <w:rsid w:val="00996AFC"/>
    <w:rsid w:val="00996EC6"/>
    <w:rsid w:val="00997CDB"/>
    <w:rsid w:val="009A0599"/>
    <w:rsid w:val="009A0BF3"/>
    <w:rsid w:val="009A10F1"/>
    <w:rsid w:val="009A1A82"/>
    <w:rsid w:val="009A3994"/>
    <w:rsid w:val="009A414C"/>
    <w:rsid w:val="009A43DC"/>
    <w:rsid w:val="009A44B7"/>
    <w:rsid w:val="009A4A8E"/>
    <w:rsid w:val="009A4AB2"/>
    <w:rsid w:val="009A5C3B"/>
    <w:rsid w:val="009A5E6B"/>
    <w:rsid w:val="009A5F6B"/>
    <w:rsid w:val="009A7AF9"/>
    <w:rsid w:val="009B0518"/>
    <w:rsid w:val="009B0638"/>
    <w:rsid w:val="009B08D9"/>
    <w:rsid w:val="009B0AB2"/>
    <w:rsid w:val="009B0E8F"/>
    <w:rsid w:val="009B1167"/>
    <w:rsid w:val="009B17F6"/>
    <w:rsid w:val="009B1F37"/>
    <w:rsid w:val="009B2BC8"/>
    <w:rsid w:val="009B2BFE"/>
    <w:rsid w:val="009B3258"/>
    <w:rsid w:val="009B35D1"/>
    <w:rsid w:val="009B4269"/>
    <w:rsid w:val="009B508F"/>
    <w:rsid w:val="009B51CC"/>
    <w:rsid w:val="009B525B"/>
    <w:rsid w:val="009B5271"/>
    <w:rsid w:val="009B56E9"/>
    <w:rsid w:val="009B5907"/>
    <w:rsid w:val="009B634B"/>
    <w:rsid w:val="009B648E"/>
    <w:rsid w:val="009C0067"/>
    <w:rsid w:val="009C039F"/>
    <w:rsid w:val="009C0875"/>
    <w:rsid w:val="009C109A"/>
    <w:rsid w:val="009C1A77"/>
    <w:rsid w:val="009C1E71"/>
    <w:rsid w:val="009C2CD4"/>
    <w:rsid w:val="009C31BA"/>
    <w:rsid w:val="009C35C9"/>
    <w:rsid w:val="009C4681"/>
    <w:rsid w:val="009C4BAA"/>
    <w:rsid w:val="009C523E"/>
    <w:rsid w:val="009C53E3"/>
    <w:rsid w:val="009C78B4"/>
    <w:rsid w:val="009D003C"/>
    <w:rsid w:val="009D0717"/>
    <w:rsid w:val="009D0A34"/>
    <w:rsid w:val="009D1005"/>
    <w:rsid w:val="009D16EB"/>
    <w:rsid w:val="009D1711"/>
    <w:rsid w:val="009D2EFC"/>
    <w:rsid w:val="009D3773"/>
    <w:rsid w:val="009D4809"/>
    <w:rsid w:val="009D4A15"/>
    <w:rsid w:val="009D504F"/>
    <w:rsid w:val="009D51A0"/>
    <w:rsid w:val="009D5267"/>
    <w:rsid w:val="009D5283"/>
    <w:rsid w:val="009D72CA"/>
    <w:rsid w:val="009D74A9"/>
    <w:rsid w:val="009D7909"/>
    <w:rsid w:val="009E01F1"/>
    <w:rsid w:val="009E0337"/>
    <w:rsid w:val="009E0C44"/>
    <w:rsid w:val="009E0F27"/>
    <w:rsid w:val="009E260A"/>
    <w:rsid w:val="009E3B6C"/>
    <w:rsid w:val="009E3F76"/>
    <w:rsid w:val="009E4F06"/>
    <w:rsid w:val="009E54B4"/>
    <w:rsid w:val="009E5986"/>
    <w:rsid w:val="009E5C41"/>
    <w:rsid w:val="009E5FD6"/>
    <w:rsid w:val="009E6118"/>
    <w:rsid w:val="009E65FA"/>
    <w:rsid w:val="009E6B08"/>
    <w:rsid w:val="009E6D51"/>
    <w:rsid w:val="009E6DFA"/>
    <w:rsid w:val="009E6E9A"/>
    <w:rsid w:val="009E788B"/>
    <w:rsid w:val="009E791B"/>
    <w:rsid w:val="009F15C8"/>
    <w:rsid w:val="009F1677"/>
    <w:rsid w:val="009F3298"/>
    <w:rsid w:val="009F3482"/>
    <w:rsid w:val="009F36F6"/>
    <w:rsid w:val="009F38C8"/>
    <w:rsid w:val="009F3C56"/>
    <w:rsid w:val="009F3FA8"/>
    <w:rsid w:val="009F4C27"/>
    <w:rsid w:val="009F507B"/>
    <w:rsid w:val="009F535C"/>
    <w:rsid w:val="009F5693"/>
    <w:rsid w:val="009F58EF"/>
    <w:rsid w:val="009F594A"/>
    <w:rsid w:val="009F5BB1"/>
    <w:rsid w:val="009F6F0E"/>
    <w:rsid w:val="009F7135"/>
    <w:rsid w:val="009F7789"/>
    <w:rsid w:val="009F79CB"/>
    <w:rsid w:val="009F7C18"/>
    <w:rsid w:val="00A00286"/>
    <w:rsid w:val="00A002D2"/>
    <w:rsid w:val="00A01C15"/>
    <w:rsid w:val="00A01E4D"/>
    <w:rsid w:val="00A029CA"/>
    <w:rsid w:val="00A03A96"/>
    <w:rsid w:val="00A03B9A"/>
    <w:rsid w:val="00A0429B"/>
    <w:rsid w:val="00A0547E"/>
    <w:rsid w:val="00A06133"/>
    <w:rsid w:val="00A06588"/>
    <w:rsid w:val="00A066C5"/>
    <w:rsid w:val="00A07CCD"/>
    <w:rsid w:val="00A10016"/>
    <w:rsid w:val="00A10CF0"/>
    <w:rsid w:val="00A10EEA"/>
    <w:rsid w:val="00A10F41"/>
    <w:rsid w:val="00A11025"/>
    <w:rsid w:val="00A1143C"/>
    <w:rsid w:val="00A1160D"/>
    <w:rsid w:val="00A11A18"/>
    <w:rsid w:val="00A12979"/>
    <w:rsid w:val="00A12D5D"/>
    <w:rsid w:val="00A12FD4"/>
    <w:rsid w:val="00A1352B"/>
    <w:rsid w:val="00A13BD4"/>
    <w:rsid w:val="00A1518D"/>
    <w:rsid w:val="00A15F48"/>
    <w:rsid w:val="00A17776"/>
    <w:rsid w:val="00A17C8B"/>
    <w:rsid w:val="00A207F8"/>
    <w:rsid w:val="00A20827"/>
    <w:rsid w:val="00A20D61"/>
    <w:rsid w:val="00A211B4"/>
    <w:rsid w:val="00A217CB"/>
    <w:rsid w:val="00A21F1B"/>
    <w:rsid w:val="00A2221D"/>
    <w:rsid w:val="00A222D0"/>
    <w:rsid w:val="00A22A42"/>
    <w:rsid w:val="00A23C09"/>
    <w:rsid w:val="00A23F19"/>
    <w:rsid w:val="00A256C9"/>
    <w:rsid w:val="00A25C78"/>
    <w:rsid w:val="00A26236"/>
    <w:rsid w:val="00A266CB"/>
    <w:rsid w:val="00A26A6A"/>
    <w:rsid w:val="00A272D4"/>
    <w:rsid w:val="00A2760A"/>
    <w:rsid w:val="00A278E5"/>
    <w:rsid w:val="00A27C07"/>
    <w:rsid w:val="00A302FB"/>
    <w:rsid w:val="00A30B14"/>
    <w:rsid w:val="00A317C0"/>
    <w:rsid w:val="00A31B36"/>
    <w:rsid w:val="00A3209D"/>
    <w:rsid w:val="00A32B57"/>
    <w:rsid w:val="00A3489F"/>
    <w:rsid w:val="00A34B01"/>
    <w:rsid w:val="00A35024"/>
    <w:rsid w:val="00A351A8"/>
    <w:rsid w:val="00A353C6"/>
    <w:rsid w:val="00A35592"/>
    <w:rsid w:val="00A35DB1"/>
    <w:rsid w:val="00A362D0"/>
    <w:rsid w:val="00A36E06"/>
    <w:rsid w:val="00A36E58"/>
    <w:rsid w:val="00A36E83"/>
    <w:rsid w:val="00A37B0F"/>
    <w:rsid w:val="00A40256"/>
    <w:rsid w:val="00A4033B"/>
    <w:rsid w:val="00A40585"/>
    <w:rsid w:val="00A40AAC"/>
    <w:rsid w:val="00A40AEA"/>
    <w:rsid w:val="00A40E62"/>
    <w:rsid w:val="00A40F52"/>
    <w:rsid w:val="00A41234"/>
    <w:rsid w:val="00A424D5"/>
    <w:rsid w:val="00A437E7"/>
    <w:rsid w:val="00A43F56"/>
    <w:rsid w:val="00A44365"/>
    <w:rsid w:val="00A447A5"/>
    <w:rsid w:val="00A450B7"/>
    <w:rsid w:val="00A454D6"/>
    <w:rsid w:val="00A455C1"/>
    <w:rsid w:val="00A468BE"/>
    <w:rsid w:val="00A46B50"/>
    <w:rsid w:val="00A46D73"/>
    <w:rsid w:val="00A50642"/>
    <w:rsid w:val="00A50E5F"/>
    <w:rsid w:val="00A5130B"/>
    <w:rsid w:val="00A513C2"/>
    <w:rsid w:val="00A51F93"/>
    <w:rsid w:val="00A52309"/>
    <w:rsid w:val="00A5276E"/>
    <w:rsid w:val="00A52A39"/>
    <w:rsid w:val="00A52B6B"/>
    <w:rsid w:val="00A52F95"/>
    <w:rsid w:val="00A531C2"/>
    <w:rsid w:val="00A53449"/>
    <w:rsid w:val="00A537B9"/>
    <w:rsid w:val="00A5388B"/>
    <w:rsid w:val="00A54728"/>
    <w:rsid w:val="00A548B6"/>
    <w:rsid w:val="00A549E3"/>
    <w:rsid w:val="00A54C9A"/>
    <w:rsid w:val="00A5527B"/>
    <w:rsid w:val="00A554F8"/>
    <w:rsid w:val="00A557DF"/>
    <w:rsid w:val="00A55949"/>
    <w:rsid w:val="00A55A48"/>
    <w:rsid w:val="00A56136"/>
    <w:rsid w:val="00A56596"/>
    <w:rsid w:val="00A5664E"/>
    <w:rsid w:val="00A57C08"/>
    <w:rsid w:val="00A60920"/>
    <w:rsid w:val="00A613F6"/>
    <w:rsid w:val="00A634C2"/>
    <w:rsid w:val="00A63665"/>
    <w:rsid w:val="00A637F4"/>
    <w:rsid w:val="00A64917"/>
    <w:rsid w:val="00A64B4A"/>
    <w:rsid w:val="00A658F1"/>
    <w:rsid w:val="00A66142"/>
    <w:rsid w:val="00A66B3D"/>
    <w:rsid w:val="00A66EE2"/>
    <w:rsid w:val="00A67A66"/>
    <w:rsid w:val="00A67BCF"/>
    <w:rsid w:val="00A7114D"/>
    <w:rsid w:val="00A71F83"/>
    <w:rsid w:val="00A72618"/>
    <w:rsid w:val="00A72647"/>
    <w:rsid w:val="00A728B4"/>
    <w:rsid w:val="00A73137"/>
    <w:rsid w:val="00A73202"/>
    <w:rsid w:val="00A73EFD"/>
    <w:rsid w:val="00A74452"/>
    <w:rsid w:val="00A74A9F"/>
    <w:rsid w:val="00A74DF4"/>
    <w:rsid w:val="00A74F1D"/>
    <w:rsid w:val="00A74FCC"/>
    <w:rsid w:val="00A7509C"/>
    <w:rsid w:val="00A7676A"/>
    <w:rsid w:val="00A76807"/>
    <w:rsid w:val="00A7693B"/>
    <w:rsid w:val="00A76E66"/>
    <w:rsid w:val="00A7793D"/>
    <w:rsid w:val="00A77C9A"/>
    <w:rsid w:val="00A8001E"/>
    <w:rsid w:val="00A802DE"/>
    <w:rsid w:val="00A805D2"/>
    <w:rsid w:val="00A80DE5"/>
    <w:rsid w:val="00A8132D"/>
    <w:rsid w:val="00A814CB"/>
    <w:rsid w:val="00A81A02"/>
    <w:rsid w:val="00A82458"/>
    <w:rsid w:val="00A829B9"/>
    <w:rsid w:val="00A83359"/>
    <w:rsid w:val="00A84078"/>
    <w:rsid w:val="00A8444C"/>
    <w:rsid w:val="00A84705"/>
    <w:rsid w:val="00A84F73"/>
    <w:rsid w:val="00A85DEF"/>
    <w:rsid w:val="00A86252"/>
    <w:rsid w:val="00A863EC"/>
    <w:rsid w:val="00A86888"/>
    <w:rsid w:val="00A8689A"/>
    <w:rsid w:val="00A87B2C"/>
    <w:rsid w:val="00A90CE0"/>
    <w:rsid w:val="00A91F34"/>
    <w:rsid w:val="00A9251C"/>
    <w:rsid w:val="00A92AEC"/>
    <w:rsid w:val="00A9424E"/>
    <w:rsid w:val="00A94C1E"/>
    <w:rsid w:val="00A95305"/>
    <w:rsid w:val="00A957AD"/>
    <w:rsid w:val="00A95818"/>
    <w:rsid w:val="00A95E5D"/>
    <w:rsid w:val="00A9635D"/>
    <w:rsid w:val="00A964EC"/>
    <w:rsid w:val="00A96D60"/>
    <w:rsid w:val="00A96E64"/>
    <w:rsid w:val="00A97389"/>
    <w:rsid w:val="00A974E8"/>
    <w:rsid w:val="00A97CA2"/>
    <w:rsid w:val="00AA001B"/>
    <w:rsid w:val="00AA01D2"/>
    <w:rsid w:val="00AA13F5"/>
    <w:rsid w:val="00AA2368"/>
    <w:rsid w:val="00AA27D7"/>
    <w:rsid w:val="00AA2C37"/>
    <w:rsid w:val="00AA32E5"/>
    <w:rsid w:val="00AA365F"/>
    <w:rsid w:val="00AA3E56"/>
    <w:rsid w:val="00AA3F82"/>
    <w:rsid w:val="00AA4A01"/>
    <w:rsid w:val="00AA4C66"/>
    <w:rsid w:val="00AA4CAC"/>
    <w:rsid w:val="00AA5299"/>
    <w:rsid w:val="00AA5361"/>
    <w:rsid w:val="00AA53A0"/>
    <w:rsid w:val="00AA5540"/>
    <w:rsid w:val="00AA567E"/>
    <w:rsid w:val="00AA5970"/>
    <w:rsid w:val="00AA5ED1"/>
    <w:rsid w:val="00AA623F"/>
    <w:rsid w:val="00AA64C0"/>
    <w:rsid w:val="00AA66D9"/>
    <w:rsid w:val="00AA69F5"/>
    <w:rsid w:val="00AA7251"/>
    <w:rsid w:val="00AA7333"/>
    <w:rsid w:val="00AA7504"/>
    <w:rsid w:val="00AA79DE"/>
    <w:rsid w:val="00AA7E6D"/>
    <w:rsid w:val="00AB0804"/>
    <w:rsid w:val="00AB0B47"/>
    <w:rsid w:val="00AB1059"/>
    <w:rsid w:val="00AB1327"/>
    <w:rsid w:val="00AB13D3"/>
    <w:rsid w:val="00AB1778"/>
    <w:rsid w:val="00AB1824"/>
    <w:rsid w:val="00AB18B3"/>
    <w:rsid w:val="00AB2EF7"/>
    <w:rsid w:val="00AB3371"/>
    <w:rsid w:val="00AB34AE"/>
    <w:rsid w:val="00AB3547"/>
    <w:rsid w:val="00AB3C4C"/>
    <w:rsid w:val="00AB3CB7"/>
    <w:rsid w:val="00AB3FC9"/>
    <w:rsid w:val="00AB4262"/>
    <w:rsid w:val="00AB4824"/>
    <w:rsid w:val="00AB49BD"/>
    <w:rsid w:val="00AB4CB2"/>
    <w:rsid w:val="00AB51FE"/>
    <w:rsid w:val="00AB5984"/>
    <w:rsid w:val="00AB5D23"/>
    <w:rsid w:val="00AB6133"/>
    <w:rsid w:val="00AB6801"/>
    <w:rsid w:val="00AB772B"/>
    <w:rsid w:val="00AB7BCD"/>
    <w:rsid w:val="00AB7D9C"/>
    <w:rsid w:val="00AB7F99"/>
    <w:rsid w:val="00AC0049"/>
    <w:rsid w:val="00AC04AE"/>
    <w:rsid w:val="00AC0EA5"/>
    <w:rsid w:val="00AC10EA"/>
    <w:rsid w:val="00AC223A"/>
    <w:rsid w:val="00AC2391"/>
    <w:rsid w:val="00AC2DE8"/>
    <w:rsid w:val="00AC340E"/>
    <w:rsid w:val="00AC34BB"/>
    <w:rsid w:val="00AC3698"/>
    <w:rsid w:val="00AC3855"/>
    <w:rsid w:val="00AC39B6"/>
    <w:rsid w:val="00AC3AC6"/>
    <w:rsid w:val="00AC3FB0"/>
    <w:rsid w:val="00AC4BA7"/>
    <w:rsid w:val="00AC4FB1"/>
    <w:rsid w:val="00AC5B10"/>
    <w:rsid w:val="00AC5D7E"/>
    <w:rsid w:val="00AC6052"/>
    <w:rsid w:val="00AC6744"/>
    <w:rsid w:val="00AC6B92"/>
    <w:rsid w:val="00AC7B64"/>
    <w:rsid w:val="00AC7CBD"/>
    <w:rsid w:val="00AD0C8A"/>
    <w:rsid w:val="00AD16D6"/>
    <w:rsid w:val="00AD1717"/>
    <w:rsid w:val="00AD1AC4"/>
    <w:rsid w:val="00AD21F1"/>
    <w:rsid w:val="00AD2297"/>
    <w:rsid w:val="00AD25CE"/>
    <w:rsid w:val="00AD38A0"/>
    <w:rsid w:val="00AD45C2"/>
    <w:rsid w:val="00AD4962"/>
    <w:rsid w:val="00AD5953"/>
    <w:rsid w:val="00AD6B0C"/>
    <w:rsid w:val="00AD711B"/>
    <w:rsid w:val="00AD7367"/>
    <w:rsid w:val="00AD7798"/>
    <w:rsid w:val="00AD7C36"/>
    <w:rsid w:val="00AD7C7B"/>
    <w:rsid w:val="00AE0053"/>
    <w:rsid w:val="00AE02B2"/>
    <w:rsid w:val="00AE036E"/>
    <w:rsid w:val="00AE04FA"/>
    <w:rsid w:val="00AE0977"/>
    <w:rsid w:val="00AE0A12"/>
    <w:rsid w:val="00AE0A48"/>
    <w:rsid w:val="00AE0C88"/>
    <w:rsid w:val="00AE1253"/>
    <w:rsid w:val="00AE1CA3"/>
    <w:rsid w:val="00AE20BC"/>
    <w:rsid w:val="00AE2129"/>
    <w:rsid w:val="00AE2215"/>
    <w:rsid w:val="00AE2A97"/>
    <w:rsid w:val="00AE2B3E"/>
    <w:rsid w:val="00AE317C"/>
    <w:rsid w:val="00AE33E6"/>
    <w:rsid w:val="00AE362C"/>
    <w:rsid w:val="00AE3997"/>
    <w:rsid w:val="00AE3C3F"/>
    <w:rsid w:val="00AE3CAE"/>
    <w:rsid w:val="00AE3D71"/>
    <w:rsid w:val="00AE4375"/>
    <w:rsid w:val="00AE43E5"/>
    <w:rsid w:val="00AE4759"/>
    <w:rsid w:val="00AE4DE5"/>
    <w:rsid w:val="00AE5CB2"/>
    <w:rsid w:val="00AE64EC"/>
    <w:rsid w:val="00AE6602"/>
    <w:rsid w:val="00AE6CB4"/>
    <w:rsid w:val="00AF0052"/>
    <w:rsid w:val="00AF05E8"/>
    <w:rsid w:val="00AF06AC"/>
    <w:rsid w:val="00AF09FA"/>
    <w:rsid w:val="00AF0A45"/>
    <w:rsid w:val="00AF0B35"/>
    <w:rsid w:val="00AF12AC"/>
    <w:rsid w:val="00AF1E36"/>
    <w:rsid w:val="00AF1F98"/>
    <w:rsid w:val="00AF2124"/>
    <w:rsid w:val="00AF39BD"/>
    <w:rsid w:val="00AF4064"/>
    <w:rsid w:val="00AF4094"/>
    <w:rsid w:val="00AF450C"/>
    <w:rsid w:val="00AF4609"/>
    <w:rsid w:val="00AF46DA"/>
    <w:rsid w:val="00AF478B"/>
    <w:rsid w:val="00AF584F"/>
    <w:rsid w:val="00AF5876"/>
    <w:rsid w:val="00AF7A6C"/>
    <w:rsid w:val="00B00756"/>
    <w:rsid w:val="00B007D7"/>
    <w:rsid w:val="00B00A67"/>
    <w:rsid w:val="00B00FE6"/>
    <w:rsid w:val="00B018C3"/>
    <w:rsid w:val="00B024BE"/>
    <w:rsid w:val="00B0350B"/>
    <w:rsid w:val="00B036FE"/>
    <w:rsid w:val="00B03774"/>
    <w:rsid w:val="00B03DC3"/>
    <w:rsid w:val="00B04162"/>
    <w:rsid w:val="00B04D71"/>
    <w:rsid w:val="00B056B2"/>
    <w:rsid w:val="00B057C4"/>
    <w:rsid w:val="00B0594A"/>
    <w:rsid w:val="00B0634B"/>
    <w:rsid w:val="00B06E3D"/>
    <w:rsid w:val="00B06EBF"/>
    <w:rsid w:val="00B07640"/>
    <w:rsid w:val="00B1177B"/>
    <w:rsid w:val="00B131B9"/>
    <w:rsid w:val="00B1378B"/>
    <w:rsid w:val="00B13CEC"/>
    <w:rsid w:val="00B14B9E"/>
    <w:rsid w:val="00B157F1"/>
    <w:rsid w:val="00B15986"/>
    <w:rsid w:val="00B15D42"/>
    <w:rsid w:val="00B1651E"/>
    <w:rsid w:val="00B1659B"/>
    <w:rsid w:val="00B168B2"/>
    <w:rsid w:val="00B16B8A"/>
    <w:rsid w:val="00B17E46"/>
    <w:rsid w:val="00B20324"/>
    <w:rsid w:val="00B204A3"/>
    <w:rsid w:val="00B217EE"/>
    <w:rsid w:val="00B220F9"/>
    <w:rsid w:val="00B22401"/>
    <w:rsid w:val="00B227AA"/>
    <w:rsid w:val="00B2281A"/>
    <w:rsid w:val="00B22C92"/>
    <w:rsid w:val="00B22DD5"/>
    <w:rsid w:val="00B22DE6"/>
    <w:rsid w:val="00B22F58"/>
    <w:rsid w:val="00B23185"/>
    <w:rsid w:val="00B23591"/>
    <w:rsid w:val="00B2367D"/>
    <w:rsid w:val="00B23B5E"/>
    <w:rsid w:val="00B242D8"/>
    <w:rsid w:val="00B2436B"/>
    <w:rsid w:val="00B24576"/>
    <w:rsid w:val="00B24E13"/>
    <w:rsid w:val="00B2510C"/>
    <w:rsid w:val="00B2512D"/>
    <w:rsid w:val="00B252DB"/>
    <w:rsid w:val="00B25C68"/>
    <w:rsid w:val="00B26056"/>
    <w:rsid w:val="00B262E1"/>
    <w:rsid w:val="00B267B5"/>
    <w:rsid w:val="00B26CD4"/>
    <w:rsid w:val="00B26F32"/>
    <w:rsid w:val="00B270F4"/>
    <w:rsid w:val="00B27B4F"/>
    <w:rsid w:val="00B27D1D"/>
    <w:rsid w:val="00B30D95"/>
    <w:rsid w:val="00B3137D"/>
    <w:rsid w:val="00B3145B"/>
    <w:rsid w:val="00B319D4"/>
    <w:rsid w:val="00B325A6"/>
    <w:rsid w:val="00B33451"/>
    <w:rsid w:val="00B33BD9"/>
    <w:rsid w:val="00B33EF4"/>
    <w:rsid w:val="00B34A42"/>
    <w:rsid w:val="00B34AE4"/>
    <w:rsid w:val="00B35622"/>
    <w:rsid w:val="00B35BC3"/>
    <w:rsid w:val="00B35E8F"/>
    <w:rsid w:val="00B360D5"/>
    <w:rsid w:val="00B36A22"/>
    <w:rsid w:val="00B3742C"/>
    <w:rsid w:val="00B37724"/>
    <w:rsid w:val="00B37943"/>
    <w:rsid w:val="00B40293"/>
    <w:rsid w:val="00B41924"/>
    <w:rsid w:val="00B41BA4"/>
    <w:rsid w:val="00B41BF5"/>
    <w:rsid w:val="00B42101"/>
    <w:rsid w:val="00B4226A"/>
    <w:rsid w:val="00B434A8"/>
    <w:rsid w:val="00B4386A"/>
    <w:rsid w:val="00B43A57"/>
    <w:rsid w:val="00B43ACC"/>
    <w:rsid w:val="00B43D8E"/>
    <w:rsid w:val="00B447F4"/>
    <w:rsid w:val="00B44FC4"/>
    <w:rsid w:val="00B4539B"/>
    <w:rsid w:val="00B45CED"/>
    <w:rsid w:val="00B45F49"/>
    <w:rsid w:val="00B46101"/>
    <w:rsid w:val="00B461A6"/>
    <w:rsid w:val="00B46FAE"/>
    <w:rsid w:val="00B47266"/>
    <w:rsid w:val="00B478AB"/>
    <w:rsid w:val="00B50AE0"/>
    <w:rsid w:val="00B5126D"/>
    <w:rsid w:val="00B51A95"/>
    <w:rsid w:val="00B51D35"/>
    <w:rsid w:val="00B5225C"/>
    <w:rsid w:val="00B522A1"/>
    <w:rsid w:val="00B52836"/>
    <w:rsid w:val="00B52C46"/>
    <w:rsid w:val="00B52FD8"/>
    <w:rsid w:val="00B53231"/>
    <w:rsid w:val="00B53669"/>
    <w:rsid w:val="00B53AB3"/>
    <w:rsid w:val="00B54F98"/>
    <w:rsid w:val="00B55430"/>
    <w:rsid w:val="00B55EF9"/>
    <w:rsid w:val="00B56021"/>
    <w:rsid w:val="00B568F6"/>
    <w:rsid w:val="00B57389"/>
    <w:rsid w:val="00B575A7"/>
    <w:rsid w:val="00B607F2"/>
    <w:rsid w:val="00B6081B"/>
    <w:rsid w:val="00B611A1"/>
    <w:rsid w:val="00B61B80"/>
    <w:rsid w:val="00B61D25"/>
    <w:rsid w:val="00B61DBD"/>
    <w:rsid w:val="00B6229D"/>
    <w:rsid w:val="00B626BD"/>
    <w:rsid w:val="00B62BFF"/>
    <w:rsid w:val="00B6359E"/>
    <w:rsid w:val="00B63BA9"/>
    <w:rsid w:val="00B6449E"/>
    <w:rsid w:val="00B644C3"/>
    <w:rsid w:val="00B644E0"/>
    <w:rsid w:val="00B6451B"/>
    <w:rsid w:val="00B64A22"/>
    <w:rsid w:val="00B658F4"/>
    <w:rsid w:val="00B66BAF"/>
    <w:rsid w:val="00B67297"/>
    <w:rsid w:val="00B67E71"/>
    <w:rsid w:val="00B722B4"/>
    <w:rsid w:val="00B7234C"/>
    <w:rsid w:val="00B7245B"/>
    <w:rsid w:val="00B72A15"/>
    <w:rsid w:val="00B72A3A"/>
    <w:rsid w:val="00B72E69"/>
    <w:rsid w:val="00B7390A"/>
    <w:rsid w:val="00B74300"/>
    <w:rsid w:val="00B74631"/>
    <w:rsid w:val="00B75028"/>
    <w:rsid w:val="00B754A0"/>
    <w:rsid w:val="00B75955"/>
    <w:rsid w:val="00B75D02"/>
    <w:rsid w:val="00B75DD8"/>
    <w:rsid w:val="00B75E6B"/>
    <w:rsid w:val="00B7652D"/>
    <w:rsid w:val="00B76750"/>
    <w:rsid w:val="00B771A9"/>
    <w:rsid w:val="00B77AB6"/>
    <w:rsid w:val="00B80785"/>
    <w:rsid w:val="00B807C8"/>
    <w:rsid w:val="00B8095A"/>
    <w:rsid w:val="00B815C5"/>
    <w:rsid w:val="00B81974"/>
    <w:rsid w:val="00B81BE4"/>
    <w:rsid w:val="00B82AD7"/>
    <w:rsid w:val="00B82E04"/>
    <w:rsid w:val="00B8329A"/>
    <w:rsid w:val="00B83833"/>
    <w:rsid w:val="00B83AB6"/>
    <w:rsid w:val="00B845C1"/>
    <w:rsid w:val="00B84835"/>
    <w:rsid w:val="00B8540D"/>
    <w:rsid w:val="00B85E9F"/>
    <w:rsid w:val="00B866EE"/>
    <w:rsid w:val="00B86CA6"/>
    <w:rsid w:val="00B86D26"/>
    <w:rsid w:val="00B87A44"/>
    <w:rsid w:val="00B87AE8"/>
    <w:rsid w:val="00B904FA"/>
    <w:rsid w:val="00B91532"/>
    <w:rsid w:val="00B91653"/>
    <w:rsid w:val="00B919ED"/>
    <w:rsid w:val="00B91EBA"/>
    <w:rsid w:val="00B920E1"/>
    <w:rsid w:val="00B9237F"/>
    <w:rsid w:val="00B933CB"/>
    <w:rsid w:val="00B9362A"/>
    <w:rsid w:val="00B94BBE"/>
    <w:rsid w:val="00B9531E"/>
    <w:rsid w:val="00B9584C"/>
    <w:rsid w:val="00B9591C"/>
    <w:rsid w:val="00B95ED7"/>
    <w:rsid w:val="00B96820"/>
    <w:rsid w:val="00B971D7"/>
    <w:rsid w:val="00B972F3"/>
    <w:rsid w:val="00B97696"/>
    <w:rsid w:val="00BA0473"/>
    <w:rsid w:val="00BA107A"/>
    <w:rsid w:val="00BA1C78"/>
    <w:rsid w:val="00BA2C69"/>
    <w:rsid w:val="00BA340D"/>
    <w:rsid w:val="00BA3F73"/>
    <w:rsid w:val="00BA4B7E"/>
    <w:rsid w:val="00BA53CE"/>
    <w:rsid w:val="00BA58F3"/>
    <w:rsid w:val="00BA609E"/>
    <w:rsid w:val="00BA63E2"/>
    <w:rsid w:val="00BA68AD"/>
    <w:rsid w:val="00BA6B54"/>
    <w:rsid w:val="00BA6C07"/>
    <w:rsid w:val="00BA7CE3"/>
    <w:rsid w:val="00BB003F"/>
    <w:rsid w:val="00BB115C"/>
    <w:rsid w:val="00BB21A6"/>
    <w:rsid w:val="00BB2211"/>
    <w:rsid w:val="00BB2F7C"/>
    <w:rsid w:val="00BB3C34"/>
    <w:rsid w:val="00BB3D6D"/>
    <w:rsid w:val="00BB4051"/>
    <w:rsid w:val="00BB56F9"/>
    <w:rsid w:val="00BB5D4F"/>
    <w:rsid w:val="00BB6698"/>
    <w:rsid w:val="00BC0177"/>
    <w:rsid w:val="00BC1F4E"/>
    <w:rsid w:val="00BC275D"/>
    <w:rsid w:val="00BC34DD"/>
    <w:rsid w:val="00BC3BAF"/>
    <w:rsid w:val="00BC46BC"/>
    <w:rsid w:val="00BC584B"/>
    <w:rsid w:val="00BC6190"/>
    <w:rsid w:val="00BC7915"/>
    <w:rsid w:val="00BC7D56"/>
    <w:rsid w:val="00BD0B7F"/>
    <w:rsid w:val="00BD0E7B"/>
    <w:rsid w:val="00BD1FD9"/>
    <w:rsid w:val="00BD26CC"/>
    <w:rsid w:val="00BD2C84"/>
    <w:rsid w:val="00BD336E"/>
    <w:rsid w:val="00BD3D5E"/>
    <w:rsid w:val="00BD43E2"/>
    <w:rsid w:val="00BD5FAC"/>
    <w:rsid w:val="00BD63EA"/>
    <w:rsid w:val="00BD6D87"/>
    <w:rsid w:val="00BD7727"/>
    <w:rsid w:val="00BD7988"/>
    <w:rsid w:val="00BD7AC6"/>
    <w:rsid w:val="00BD7D2C"/>
    <w:rsid w:val="00BD7F84"/>
    <w:rsid w:val="00BE1AA8"/>
    <w:rsid w:val="00BE1BAD"/>
    <w:rsid w:val="00BE1EFA"/>
    <w:rsid w:val="00BE204C"/>
    <w:rsid w:val="00BE24D5"/>
    <w:rsid w:val="00BE3344"/>
    <w:rsid w:val="00BE35A0"/>
    <w:rsid w:val="00BE490E"/>
    <w:rsid w:val="00BE4D01"/>
    <w:rsid w:val="00BE5646"/>
    <w:rsid w:val="00BE56BA"/>
    <w:rsid w:val="00BE72DD"/>
    <w:rsid w:val="00BF0916"/>
    <w:rsid w:val="00BF1440"/>
    <w:rsid w:val="00BF16DC"/>
    <w:rsid w:val="00BF2F80"/>
    <w:rsid w:val="00BF3158"/>
    <w:rsid w:val="00BF3A9E"/>
    <w:rsid w:val="00BF3BFA"/>
    <w:rsid w:val="00BF3CB1"/>
    <w:rsid w:val="00BF40BF"/>
    <w:rsid w:val="00BF4343"/>
    <w:rsid w:val="00BF43AB"/>
    <w:rsid w:val="00BF52A6"/>
    <w:rsid w:val="00BF56F6"/>
    <w:rsid w:val="00BF5CCA"/>
    <w:rsid w:val="00BF68AF"/>
    <w:rsid w:val="00BF6AC0"/>
    <w:rsid w:val="00BF7265"/>
    <w:rsid w:val="00BF750B"/>
    <w:rsid w:val="00C00476"/>
    <w:rsid w:val="00C01314"/>
    <w:rsid w:val="00C01398"/>
    <w:rsid w:val="00C0139A"/>
    <w:rsid w:val="00C013E8"/>
    <w:rsid w:val="00C01DB7"/>
    <w:rsid w:val="00C026E7"/>
    <w:rsid w:val="00C02C65"/>
    <w:rsid w:val="00C03221"/>
    <w:rsid w:val="00C03B8C"/>
    <w:rsid w:val="00C03F7C"/>
    <w:rsid w:val="00C041AE"/>
    <w:rsid w:val="00C048C3"/>
    <w:rsid w:val="00C0505C"/>
    <w:rsid w:val="00C05195"/>
    <w:rsid w:val="00C05A6A"/>
    <w:rsid w:val="00C06DB4"/>
    <w:rsid w:val="00C0750F"/>
    <w:rsid w:val="00C077ED"/>
    <w:rsid w:val="00C10060"/>
    <w:rsid w:val="00C10173"/>
    <w:rsid w:val="00C11227"/>
    <w:rsid w:val="00C12232"/>
    <w:rsid w:val="00C1317B"/>
    <w:rsid w:val="00C134F6"/>
    <w:rsid w:val="00C13A3B"/>
    <w:rsid w:val="00C13AE9"/>
    <w:rsid w:val="00C13FDF"/>
    <w:rsid w:val="00C14419"/>
    <w:rsid w:val="00C1467A"/>
    <w:rsid w:val="00C1499E"/>
    <w:rsid w:val="00C14BFF"/>
    <w:rsid w:val="00C14C53"/>
    <w:rsid w:val="00C15602"/>
    <w:rsid w:val="00C1577F"/>
    <w:rsid w:val="00C15BF6"/>
    <w:rsid w:val="00C171C6"/>
    <w:rsid w:val="00C17512"/>
    <w:rsid w:val="00C1760B"/>
    <w:rsid w:val="00C17F15"/>
    <w:rsid w:val="00C210A0"/>
    <w:rsid w:val="00C2190E"/>
    <w:rsid w:val="00C21FBC"/>
    <w:rsid w:val="00C221DD"/>
    <w:rsid w:val="00C23FDF"/>
    <w:rsid w:val="00C23FFE"/>
    <w:rsid w:val="00C246F7"/>
    <w:rsid w:val="00C24923"/>
    <w:rsid w:val="00C24A6C"/>
    <w:rsid w:val="00C24ECA"/>
    <w:rsid w:val="00C2501B"/>
    <w:rsid w:val="00C2511B"/>
    <w:rsid w:val="00C264D9"/>
    <w:rsid w:val="00C266C7"/>
    <w:rsid w:val="00C2678B"/>
    <w:rsid w:val="00C26FD8"/>
    <w:rsid w:val="00C27743"/>
    <w:rsid w:val="00C27A88"/>
    <w:rsid w:val="00C27CB7"/>
    <w:rsid w:val="00C3049B"/>
    <w:rsid w:val="00C30B79"/>
    <w:rsid w:val="00C30B89"/>
    <w:rsid w:val="00C32110"/>
    <w:rsid w:val="00C326A3"/>
    <w:rsid w:val="00C3390E"/>
    <w:rsid w:val="00C35A59"/>
    <w:rsid w:val="00C36070"/>
    <w:rsid w:val="00C369C0"/>
    <w:rsid w:val="00C36AB5"/>
    <w:rsid w:val="00C37503"/>
    <w:rsid w:val="00C37ACB"/>
    <w:rsid w:val="00C37D45"/>
    <w:rsid w:val="00C37F21"/>
    <w:rsid w:val="00C40474"/>
    <w:rsid w:val="00C4069B"/>
    <w:rsid w:val="00C4147B"/>
    <w:rsid w:val="00C41D66"/>
    <w:rsid w:val="00C41F02"/>
    <w:rsid w:val="00C421E4"/>
    <w:rsid w:val="00C424DF"/>
    <w:rsid w:val="00C43762"/>
    <w:rsid w:val="00C43A07"/>
    <w:rsid w:val="00C44254"/>
    <w:rsid w:val="00C44F31"/>
    <w:rsid w:val="00C45488"/>
    <w:rsid w:val="00C458FD"/>
    <w:rsid w:val="00C464C6"/>
    <w:rsid w:val="00C47606"/>
    <w:rsid w:val="00C4761F"/>
    <w:rsid w:val="00C47648"/>
    <w:rsid w:val="00C47959"/>
    <w:rsid w:val="00C47CB4"/>
    <w:rsid w:val="00C47F60"/>
    <w:rsid w:val="00C50713"/>
    <w:rsid w:val="00C5192E"/>
    <w:rsid w:val="00C51AC6"/>
    <w:rsid w:val="00C51B12"/>
    <w:rsid w:val="00C52250"/>
    <w:rsid w:val="00C5229E"/>
    <w:rsid w:val="00C5235B"/>
    <w:rsid w:val="00C526CD"/>
    <w:rsid w:val="00C52828"/>
    <w:rsid w:val="00C5286E"/>
    <w:rsid w:val="00C5311E"/>
    <w:rsid w:val="00C531AD"/>
    <w:rsid w:val="00C5354B"/>
    <w:rsid w:val="00C5362F"/>
    <w:rsid w:val="00C548D0"/>
    <w:rsid w:val="00C54B61"/>
    <w:rsid w:val="00C54FEE"/>
    <w:rsid w:val="00C55210"/>
    <w:rsid w:val="00C5531C"/>
    <w:rsid w:val="00C55A1F"/>
    <w:rsid w:val="00C55C61"/>
    <w:rsid w:val="00C5749D"/>
    <w:rsid w:val="00C575D0"/>
    <w:rsid w:val="00C576B8"/>
    <w:rsid w:val="00C57FFA"/>
    <w:rsid w:val="00C610E6"/>
    <w:rsid w:val="00C61379"/>
    <w:rsid w:val="00C61D4B"/>
    <w:rsid w:val="00C61FB9"/>
    <w:rsid w:val="00C62B87"/>
    <w:rsid w:val="00C6342B"/>
    <w:rsid w:val="00C63477"/>
    <w:rsid w:val="00C636D6"/>
    <w:rsid w:val="00C637A6"/>
    <w:rsid w:val="00C63BF2"/>
    <w:rsid w:val="00C63CF7"/>
    <w:rsid w:val="00C644C3"/>
    <w:rsid w:val="00C64B36"/>
    <w:rsid w:val="00C66563"/>
    <w:rsid w:val="00C66E25"/>
    <w:rsid w:val="00C66E95"/>
    <w:rsid w:val="00C66FF6"/>
    <w:rsid w:val="00C6716A"/>
    <w:rsid w:val="00C67257"/>
    <w:rsid w:val="00C67B1B"/>
    <w:rsid w:val="00C67E38"/>
    <w:rsid w:val="00C7001D"/>
    <w:rsid w:val="00C707A6"/>
    <w:rsid w:val="00C70B86"/>
    <w:rsid w:val="00C70CA9"/>
    <w:rsid w:val="00C70ED2"/>
    <w:rsid w:val="00C7156B"/>
    <w:rsid w:val="00C71D7E"/>
    <w:rsid w:val="00C72146"/>
    <w:rsid w:val="00C72808"/>
    <w:rsid w:val="00C72DAA"/>
    <w:rsid w:val="00C739BE"/>
    <w:rsid w:val="00C73B2F"/>
    <w:rsid w:val="00C74AA6"/>
    <w:rsid w:val="00C764A7"/>
    <w:rsid w:val="00C77021"/>
    <w:rsid w:val="00C7752B"/>
    <w:rsid w:val="00C805FB"/>
    <w:rsid w:val="00C80CE0"/>
    <w:rsid w:val="00C80DCC"/>
    <w:rsid w:val="00C80EFE"/>
    <w:rsid w:val="00C81756"/>
    <w:rsid w:val="00C818A7"/>
    <w:rsid w:val="00C8261D"/>
    <w:rsid w:val="00C82AC8"/>
    <w:rsid w:val="00C83462"/>
    <w:rsid w:val="00C83D4D"/>
    <w:rsid w:val="00C8446A"/>
    <w:rsid w:val="00C846AE"/>
    <w:rsid w:val="00C84D7A"/>
    <w:rsid w:val="00C85015"/>
    <w:rsid w:val="00C851DD"/>
    <w:rsid w:val="00C8530F"/>
    <w:rsid w:val="00C85488"/>
    <w:rsid w:val="00C857D9"/>
    <w:rsid w:val="00C858C5"/>
    <w:rsid w:val="00C85C07"/>
    <w:rsid w:val="00C85D5D"/>
    <w:rsid w:val="00C863E3"/>
    <w:rsid w:val="00C8684F"/>
    <w:rsid w:val="00C86A9D"/>
    <w:rsid w:val="00C87856"/>
    <w:rsid w:val="00C87A67"/>
    <w:rsid w:val="00C9085A"/>
    <w:rsid w:val="00C908C4"/>
    <w:rsid w:val="00C90F9D"/>
    <w:rsid w:val="00C912D3"/>
    <w:rsid w:val="00C91879"/>
    <w:rsid w:val="00C91E60"/>
    <w:rsid w:val="00C92037"/>
    <w:rsid w:val="00C928F2"/>
    <w:rsid w:val="00C92B36"/>
    <w:rsid w:val="00C93ED6"/>
    <w:rsid w:val="00C941F2"/>
    <w:rsid w:val="00C94667"/>
    <w:rsid w:val="00C94783"/>
    <w:rsid w:val="00C95185"/>
    <w:rsid w:val="00C95287"/>
    <w:rsid w:val="00C952BA"/>
    <w:rsid w:val="00C95BAF"/>
    <w:rsid w:val="00C969E6"/>
    <w:rsid w:val="00C970CC"/>
    <w:rsid w:val="00C9750E"/>
    <w:rsid w:val="00C978A7"/>
    <w:rsid w:val="00CA06C3"/>
    <w:rsid w:val="00CA06E6"/>
    <w:rsid w:val="00CA0780"/>
    <w:rsid w:val="00CA0C1A"/>
    <w:rsid w:val="00CA16FF"/>
    <w:rsid w:val="00CA174B"/>
    <w:rsid w:val="00CA196D"/>
    <w:rsid w:val="00CA1E17"/>
    <w:rsid w:val="00CA20DF"/>
    <w:rsid w:val="00CA28B7"/>
    <w:rsid w:val="00CA2E4D"/>
    <w:rsid w:val="00CA3403"/>
    <w:rsid w:val="00CA34A4"/>
    <w:rsid w:val="00CA35F4"/>
    <w:rsid w:val="00CA3A22"/>
    <w:rsid w:val="00CA4A6E"/>
    <w:rsid w:val="00CA6085"/>
    <w:rsid w:val="00CA6A50"/>
    <w:rsid w:val="00CA6D9A"/>
    <w:rsid w:val="00CA6DD5"/>
    <w:rsid w:val="00CA6EA8"/>
    <w:rsid w:val="00CA713E"/>
    <w:rsid w:val="00CA7DF9"/>
    <w:rsid w:val="00CA7FFD"/>
    <w:rsid w:val="00CB01E8"/>
    <w:rsid w:val="00CB0540"/>
    <w:rsid w:val="00CB0BDD"/>
    <w:rsid w:val="00CB0F46"/>
    <w:rsid w:val="00CB1098"/>
    <w:rsid w:val="00CB1CBB"/>
    <w:rsid w:val="00CB20D9"/>
    <w:rsid w:val="00CB278B"/>
    <w:rsid w:val="00CB2AC6"/>
    <w:rsid w:val="00CB303B"/>
    <w:rsid w:val="00CB3054"/>
    <w:rsid w:val="00CB34B3"/>
    <w:rsid w:val="00CB3B88"/>
    <w:rsid w:val="00CB4461"/>
    <w:rsid w:val="00CB4C29"/>
    <w:rsid w:val="00CB525B"/>
    <w:rsid w:val="00CB535E"/>
    <w:rsid w:val="00CB5805"/>
    <w:rsid w:val="00CB5C06"/>
    <w:rsid w:val="00CB5F06"/>
    <w:rsid w:val="00CB70F4"/>
    <w:rsid w:val="00CB7648"/>
    <w:rsid w:val="00CB787A"/>
    <w:rsid w:val="00CC08C1"/>
    <w:rsid w:val="00CC12A1"/>
    <w:rsid w:val="00CC1636"/>
    <w:rsid w:val="00CC2C57"/>
    <w:rsid w:val="00CC377F"/>
    <w:rsid w:val="00CC3CB7"/>
    <w:rsid w:val="00CC42AB"/>
    <w:rsid w:val="00CC4FD0"/>
    <w:rsid w:val="00CC5296"/>
    <w:rsid w:val="00CC532C"/>
    <w:rsid w:val="00CC5CF9"/>
    <w:rsid w:val="00CC5D15"/>
    <w:rsid w:val="00CC611A"/>
    <w:rsid w:val="00CC6238"/>
    <w:rsid w:val="00CC685D"/>
    <w:rsid w:val="00CC690A"/>
    <w:rsid w:val="00CC6BF5"/>
    <w:rsid w:val="00CC717A"/>
    <w:rsid w:val="00CD007E"/>
    <w:rsid w:val="00CD20C1"/>
    <w:rsid w:val="00CD2A29"/>
    <w:rsid w:val="00CD2A6E"/>
    <w:rsid w:val="00CD3637"/>
    <w:rsid w:val="00CD41B6"/>
    <w:rsid w:val="00CD4F8A"/>
    <w:rsid w:val="00CD5536"/>
    <w:rsid w:val="00CD55C7"/>
    <w:rsid w:val="00CD5DF4"/>
    <w:rsid w:val="00CD65A5"/>
    <w:rsid w:val="00CD69A7"/>
    <w:rsid w:val="00CD7036"/>
    <w:rsid w:val="00CE0C42"/>
    <w:rsid w:val="00CE0D23"/>
    <w:rsid w:val="00CE109D"/>
    <w:rsid w:val="00CE1324"/>
    <w:rsid w:val="00CE199D"/>
    <w:rsid w:val="00CE200A"/>
    <w:rsid w:val="00CE26FB"/>
    <w:rsid w:val="00CE2D94"/>
    <w:rsid w:val="00CE3190"/>
    <w:rsid w:val="00CE345C"/>
    <w:rsid w:val="00CE34D2"/>
    <w:rsid w:val="00CE364E"/>
    <w:rsid w:val="00CE4191"/>
    <w:rsid w:val="00CE5130"/>
    <w:rsid w:val="00CE52D3"/>
    <w:rsid w:val="00CE601B"/>
    <w:rsid w:val="00CE61AE"/>
    <w:rsid w:val="00CE6EB7"/>
    <w:rsid w:val="00CE73AC"/>
    <w:rsid w:val="00CF0012"/>
    <w:rsid w:val="00CF0086"/>
    <w:rsid w:val="00CF0088"/>
    <w:rsid w:val="00CF0645"/>
    <w:rsid w:val="00CF0B57"/>
    <w:rsid w:val="00CF14A4"/>
    <w:rsid w:val="00CF1551"/>
    <w:rsid w:val="00CF174E"/>
    <w:rsid w:val="00CF1BAE"/>
    <w:rsid w:val="00CF2050"/>
    <w:rsid w:val="00CF30F1"/>
    <w:rsid w:val="00CF4072"/>
    <w:rsid w:val="00CF4107"/>
    <w:rsid w:val="00CF43E7"/>
    <w:rsid w:val="00CF4420"/>
    <w:rsid w:val="00CF4485"/>
    <w:rsid w:val="00CF46ED"/>
    <w:rsid w:val="00CF4F35"/>
    <w:rsid w:val="00CF52D9"/>
    <w:rsid w:val="00CF5F2D"/>
    <w:rsid w:val="00CF63FB"/>
    <w:rsid w:val="00CF66B9"/>
    <w:rsid w:val="00CF6EA1"/>
    <w:rsid w:val="00CF7490"/>
    <w:rsid w:val="00CF7D13"/>
    <w:rsid w:val="00CF7F94"/>
    <w:rsid w:val="00D00685"/>
    <w:rsid w:val="00D00EE3"/>
    <w:rsid w:val="00D01092"/>
    <w:rsid w:val="00D019CD"/>
    <w:rsid w:val="00D022E5"/>
    <w:rsid w:val="00D0250C"/>
    <w:rsid w:val="00D03166"/>
    <w:rsid w:val="00D033C6"/>
    <w:rsid w:val="00D0372E"/>
    <w:rsid w:val="00D04675"/>
    <w:rsid w:val="00D04C3D"/>
    <w:rsid w:val="00D04EA6"/>
    <w:rsid w:val="00D05FA5"/>
    <w:rsid w:val="00D06A12"/>
    <w:rsid w:val="00D07394"/>
    <w:rsid w:val="00D07679"/>
    <w:rsid w:val="00D100F1"/>
    <w:rsid w:val="00D108B4"/>
    <w:rsid w:val="00D10E8A"/>
    <w:rsid w:val="00D11EBB"/>
    <w:rsid w:val="00D12384"/>
    <w:rsid w:val="00D127D0"/>
    <w:rsid w:val="00D13AC5"/>
    <w:rsid w:val="00D13BB3"/>
    <w:rsid w:val="00D13C16"/>
    <w:rsid w:val="00D145C8"/>
    <w:rsid w:val="00D14BC0"/>
    <w:rsid w:val="00D14ED5"/>
    <w:rsid w:val="00D1519D"/>
    <w:rsid w:val="00D1583C"/>
    <w:rsid w:val="00D15C87"/>
    <w:rsid w:val="00D16693"/>
    <w:rsid w:val="00D1680C"/>
    <w:rsid w:val="00D16C28"/>
    <w:rsid w:val="00D17419"/>
    <w:rsid w:val="00D1763A"/>
    <w:rsid w:val="00D176B7"/>
    <w:rsid w:val="00D17EAB"/>
    <w:rsid w:val="00D17ECC"/>
    <w:rsid w:val="00D202F7"/>
    <w:rsid w:val="00D208DD"/>
    <w:rsid w:val="00D20996"/>
    <w:rsid w:val="00D20C74"/>
    <w:rsid w:val="00D211CA"/>
    <w:rsid w:val="00D213B9"/>
    <w:rsid w:val="00D21845"/>
    <w:rsid w:val="00D21871"/>
    <w:rsid w:val="00D21B39"/>
    <w:rsid w:val="00D2216C"/>
    <w:rsid w:val="00D22A26"/>
    <w:rsid w:val="00D22C90"/>
    <w:rsid w:val="00D231F6"/>
    <w:rsid w:val="00D23E0E"/>
    <w:rsid w:val="00D245A0"/>
    <w:rsid w:val="00D251FC"/>
    <w:rsid w:val="00D2664C"/>
    <w:rsid w:val="00D26992"/>
    <w:rsid w:val="00D26C93"/>
    <w:rsid w:val="00D26F89"/>
    <w:rsid w:val="00D27461"/>
    <w:rsid w:val="00D27597"/>
    <w:rsid w:val="00D278E0"/>
    <w:rsid w:val="00D30301"/>
    <w:rsid w:val="00D303D4"/>
    <w:rsid w:val="00D30867"/>
    <w:rsid w:val="00D30AD7"/>
    <w:rsid w:val="00D30E7F"/>
    <w:rsid w:val="00D32D05"/>
    <w:rsid w:val="00D341F8"/>
    <w:rsid w:val="00D347D5"/>
    <w:rsid w:val="00D3551D"/>
    <w:rsid w:val="00D35DFB"/>
    <w:rsid w:val="00D366D8"/>
    <w:rsid w:val="00D368C6"/>
    <w:rsid w:val="00D3694E"/>
    <w:rsid w:val="00D3710D"/>
    <w:rsid w:val="00D374F2"/>
    <w:rsid w:val="00D37A49"/>
    <w:rsid w:val="00D37AB5"/>
    <w:rsid w:val="00D37B22"/>
    <w:rsid w:val="00D37D4C"/>
    <w:rsid w:val="00D37EFC"/>
    <w:rsid w:val="00D4035D"/>
    <w:rsid w:val="00D4113B"/>
    <w:rsid w:val="00D417A8"/>
    <w:rsid w:val="00D41AA9"/>
    <w:rsid w:val="00D41E2E"/>
    <w:rsid w:val="00D420A3"/>
    <w:rsid w:val="00D43788"/>
    <w:rsid w:val="00D43F06"/>
    <w:rsid w:val="00D4417A"/>
    <w:rsid w:val="00D446F6"/>
    <w:rsid w:val="00D44F32"/>
    <w:rsid w:val="00D453EB"/>
    <w:rsid w:val="00D45465"/>
    <w:rsid w:val="00D45962"/>
    <w:rsid w:val="00D46BF3"/>
    <w:rsid w:val="00D472A3"/>
    <w:rsid w:val="00D50125"/>
    <w:rsid w:val="00D5064A"/>
    <w:rsid w:val="00D507F3"/>
    <w:rsid w:val="00D50BAE"/>
    <w:rsid w:val="00D51C6E"/>
    <w:rsid w:val="00D52033"/>
    <w:rsid w:val="00D5390E"/>
    <w:rsid w:val="00D5398F"/>
    <w:rsid w:val="00D53ABD"/>
    <w:rsid w:val="00D53B25"/>
    <w:rsid w:val="00D548B4"/>
    <w:rsid w:val="00D54F03"/>
    <w:rsid w:val="00D55519"/>
    <w:rsid w:val="00D5613C"/>
    <w:rsid w:val="00D563E9"/>
    <w:rsid w:val="00D565E5"/>
    <w:rsid w:val="00D574EC"/>
    <w:rsid w:val="00D6049A"/>
    <w:rsid w:val="00D606DC"/>
    <w:rsid w:val="00D61740"/>
    <w:rsid w:val="00D6226E"/>
    <w:rsid w:val="00D624D9"/>
    <w:rsid w:val="00D62B22"/>
    <w:rsid w:val="00D62E62"/>
    <w:rsid w:val="00D63666"/>
    <w:rsid w:val="00D6376C"/>
    <w:rsid w:val="00D63E65"/>
    <w:rsid w:val="00D63F35"/>
    <w:rsid w:val="00D63F80"/>
    <w:rsid w:val="00D643E3"/>
    <w:rsid w:val="00D64C63"/>
    <w:rsid w:val="00D64E3B"/>
    <w:rsid w:val="00D65E2B"/>
    <w:rsid w:val="00D66360"/>
    <w:rsid w:val="00D6654C"/>
    <w:rsid w:val="00D66A1A"/>
    <w:rsid w:val="00D6746D"/>
    <w:rsid w:val="00D67A66"/>
    <w:rsid w:val="00D70CDF"/>
    <w:rsid w:val="00D71270"/>
    <w:rsid w:val="00D713B2"/>
    <w:rsid w:val="00D717EC"/>
    <w:rsid w:val="00D718AD"/>
    <w:rsid w:val="00D72558"/>
    <w:rsid w:val="00D72C61"/>
    <w:rsid w:val="00D735A9"/>
    <w:rsid w:val="00D7425E"/>
    <w:rsid w:val="00D74E47"/>
    <w:rsid w:val="00D75041"/>
    <w:rsid w:val="00D751C0"/>
    <w:rsid w:val="00D75C3E"/>
    <w:rsid w:val="00D761C1"/>
    <w:rsid w:val="00D76275"/>
    <w:rsid w:val="00D76306"/>
    <w:rsid w:val="00D767C3"/>
    <w:rsid w:val="00D76B2F"/>
    <w:rsid w:val="00D76DE5"/>
    <w:rsid w:val="00D777C1"/>
    <w:rsid w:val="00D7798C"/>
    <w:rsid w:val="00D80092"/>
    <w:rsid w:val="00D803CF"/>
    <w:rsid w:val="00D80770"/>
    <w:rsid w:val="00D80C25"/>
    <w:rsid w:val="00D81553"/>
    <w:rsid w:val="00D81892"/>
    <w:rsid w:val="00D81A25"/>
    <w:rsid w:val="00D82B60"/>
    <w:rsid w:val="00D82F0E"/>
    <w:rsid w:val="00D835B1"/>
    <w:rsid w:val="00D84D7B"/>
    <w:rsid w:val="00D84E29"/>
    <w:rsid w:val="00D8540E"/>
    <w:rsid w:val="00D8554F"/>
    <w:rsid w:val="00D85E1F"/>
    <w:rsid w:val="00D86B5A"/>
    <w:rsid w:val="00D86E05"/>
    <w:rsid w:val="00D875B3"/>
    <w:rsid w:val="00D87BB0"/>
    <w:rsid w:val="00D87E04"/>
    <w:rsid w:val="00D90590"/>
    <w:rsid w:val="00D90D32"/>
    <w:rsid w:val="00D91A07"/>
    <w:rsid w:val="00D91C7A"/>
    <w:rsid w:val="00D920C1"/>
    <w:rsid w:val="00D92708"/>
    <w:rsid w:val="00D9279C"/>
    <w:rsid w:val="00D927F9"/>
    <w:rsid w:val="00D930AF"/>
    <w:rsid w:val="00D9463D"/>
    <w:rsid w:val="00D954D9"/>
    <w:rsid w:val="00D956B4"/>
    <w:rsid w:val="00D956E4"/>
    <w:rsid w:val="00D95708"/>
    <w:rsid w:val="00D95C2C"/>
    <w:rsid w:val="00D95FD0"/>
    <w:rsid w:val="00D95FDB"/>
    <w:rsid w:val="00D96B05"/>
    <w:rsid w:val="00D96B12"/>
    <w:rsid w:val="00D96C68"/>
    <w:rsid w:val="00D97145"/>
    <w:rsid w:val="00D974CD"/>
    <w:rsid w:val="00D97C27"/>
    <w:rsid w:val="00D97F2B"/>
    <w:rsid w:val="00DA06DC"/>
    <w:rsid w:val="00DA0D8B"/>
    <w:rsid w:val="00DA243A"/>
    <w:rsid w:val="00DA2945"/>
    <w:rsid w:val="00DA3321"/>
    <w:rsid w:val="00DA333D"/>
    <w:rsid w:val="00DA4CBB"/>
    <w:rsid w:val="00DA504F"/>
    <w:rsid w:val="00DA524F"/>
    <w:rsid w:val="00DA5EBD"/>
    <w:rsid w:val="00DA5F08"/>
    <w:rsid w:val="00DA6049"/>
    <w:rsid w:val="00DA6724"/>
    <w:rsid w:val="00DA68FD"/>
    <w:rsid w:val="00DA6AB0"/>
    <w:rsid w:val="00DA6EA8"/>
    <w:rsid w:val="00DA707D"/>
    <w:rsid w:val="00DA75C8"/>
    <w:rsid w:val="00DA7803"/>
    <w:rsid w:val="00DA7EE8"/>
    <w:rsid w:val="00DA7FDF"/>
    <w:rsid w:val="00DB0077"/>
    <w:rsid w:val="00DB1323"/>
    <w:rsid w:val="00DB201A"/>
    <w:rsid w:val="00DB20C6"/>
    <w:rsid w:val="00DB21F6"/>
    <w:rsid w:val="00DB2213"/>
    <w:rsid w:val="00DB2A0F"/>
    <w:rsid w:val="00DB3057"/>
    <w:rsid w:val="00DB38F1"/>
    <w:rsid w:val="00DB3E52"/>
    <w:rsid w:val="00DB4251"/>
    <w:rsid w:val="00DB44BD"/>
    <w:rsid w:val="00DB6809"/>
    <w:rsid w:val="00DB689E"/>
    <w:rsid w:val="00DB7820"/>
    <w:rsid w:val="00DB7B34"/>
    <w:rsid w:val="00DC0ACF"/>
    <w:rsid w:val="00DC1A7A"/>
    <w:rsid w:val="00DC1CEB"/>
    <w:rsid w:val="00DC284D"/>
    <w:rsid w:val="00DC319F"/>
    <w:rsid w:val="00DC396F"/>
    <w:rsid w:val="00DC3D5B"/>
    <w:rsid w:val="00DC46C4"/>
    <w:rsid w:val="00DC5898"/>
    <w:rsid w:val="00DC6421"/>
    <w:rsid w:val="00DC649A"/>
    <w:rsid w:val="00DC6E8D"/>
    <w:rsid w:val="00DC758D"/>
    <w:rsid w:val="00DC7CA2"/>
    <w:rsid w:val="00DD00C0"/>
    <w:rsid w:val="00DD05BF"/>
    <w:rsid w:val="00DD0AA0"/>
    <w:rsid w:val="00DD0BCC"/>
    <w:rsid w:val="00DD0DA3"/>
    <w:rsid w:val="00DD1351"/>
    <w:rsid w:val="00DD179D"/>
    <w:rsid w:val="00DD26C9"/>
    <w:rsid w:val="00DD27C4"/>
    <w:rsid w:val="00DD3213"/>
    <w:rsid w:val="00DD4976"/>
    <w:rsid w:val="00DD4F27"/>
    <w:rsid w:val="00DD52E1"/>
    <w:rsid w:val="00DD5531"/>
    <w:rsid w:val="00DD5C3B"/>
    <w:rsid w:val="00DD5CBC"/>
    <w:rsid w:val="00DD5EB5"/>
    <w:rsid w:val="00DD60DD"/>
    <w:rsid w:val="00DD6317"/>
    <w:rsid w:val="00DD6360"/>
    <w:rsid w:val="00DD6A9B"/>
    <w:rsid w:val="00DD6E9E"/>
    <w:rsid w:val="00DE01E1"/>
    <w:rsid w:val="00DE0489"/>
    <w:rsid w:val="00DE0493"/>
    <w:rsid w:val="00DE0AF9"/>
    <w:rsid w:val="00DE1240"/>
    <w:rsid w:val="00DE1C69"/>
    <w:rsid w:val="00DE2269"/>
    <w:rsid w:val="00DE25F5"/>
    <w:rsid w:val="00DE3898"/>
    <w:rsid w:val="00DE39E6"/>
    <w:rsid w:val="00DE434E"/>
    <w:rsid w:val="00DE4577"/>
    <w:rsid w:val="00DE490C"/>
    <w:rsid w:val="00DE4C29"/>
    <w:rsid w:val="00DE6D98"/>
    <w:rsid w:val="00DE70A0"/>
    <w:rsid w:val="00DE7346"/>
    <w:rsid w:val="00DE773D"/>
    <w:rsid w:val="00DE783E"/>
    <w:rsid w:val="00DE7C85"/>
    <w:rsid w:val="00DE7DF5"/>
    <w:rsid w:val="00DF01B7"/>
    <w:rsid w:val="00DF0CCD"/>
    <w:rsid w:val="00DF0D47"/>
    <w:rsid w:val="00DF10CF"/>
    <w:rsid w:val="00DF1504"/>
    <w:rsid w:val="00DF537F"/>
    <w:rsid w:val="00DF54B0"/>
    <w:rsid w:val="00DF611E"/>
    <w:rsid w:val="00DF641D"/>
    <w:rsid w:val="00DF697B"/>
    <w:rsid w:val="00DF7417"/>
    <w:rsid w:val="00DF7C15"/>
    <w:rsid w:val="00E015CF"/>
    <w:rsid w:val="00E0272A"/>
    <w:rsid w:val="00E02C4A"/>
    <w:rsid w:val="00E02D43"/>
    <w:rsid w:val="00E03937"/>
    <w:rsid w:val="00E04F6A"/>
    <w:rsid w:val="00E05CFA"/>
    <w:rsid w:val="00E05D33"/>
    <w:rsid w:val="00E06AA4"/>
    <w:rsid w:val="00E06AF8"/>
    <w:rsid w:val="00E06EA2"/>
    <w:rsid w:val="00E06EAF"/>
    <w:rsid w:val="00E0714C"/>
    <w:rsid w:val="00E07640"/>
    <w:rsid w:val="00E07BBD"/>
    <w:rsid w:val="00E07E94"/>
    <w:rsid w:val="00E10E6B"/>
    <w:rsid w:val="00E126B2"/>
    <w:rsid w:val="00E1280C"/>
    <w:rsid w:val="00E12D1C"/>
    <w:rsid w:val="00E13160"/>
    <w:rsid w:val="00E135BF"/>
    <w:rsid w:val="00E149B2"/>
    <w:rsid w:val="00E14BC5"/>
    <w:rsid w:val="00E15CBC"/>
    <w:rsid w:val="00E15CE1"/>
    <w:rsid w:val="00E15E1D"/>
    <w:rsid w:val="00E17B41"/>
    <w:rsid w:val="00E17DDC"/>
    <w:rsid w:val="00E207E0"/>
    <w:rsid w:val="00E2087B"/>
    <w:rsid w:val="00E20A1D"/>
    <w:rsid w:val="00E20E42"/>
    <w:rsid w:val="00E20FB5"/>
    <w:rsid w:val="00E21230"/>
    <w:rsid w:val="00E214F8"/>
    <w:rsid w:val="00E21D85"/>
    <w:rsid w:val="00E228D1"/>
    <w:rsid w:val="00E229BC"/>
    <w:rsid w:val="00E23281"/>
    <w:rsid w:val="00E23A4F"/>
    <w:rsid w:val="00E23E84"/>
    <w:rsid w:val="00E2563C"/>
    <w:rsid w:val="00E26534"/>
    <w:rsid w:val="00E26536"/>
    <w:rsid w:val="00E26951"/>
    <w:rsid w:val="00E27A28"/>
    <w:rsid w:val="00E27C26"/>
    <w:rsid w:val="00E27E40"/>
    <w:rsid w:val="00E3017C"/>
    <w:rsid w:val="00E31191"/>
    <w:rsid w:val="00E32074"/>
    <w:rsid w:val="00E32281"/>
    <w:rsid w:val="00E32FC8"/>
    <w:rsid w:val="00E3335F"/>
    <w:rsid w:val="00E33897"/>
    <w:rsid w:val="00E34004"/>
    <w:rsid w:val="00E342CE"/>
    <w:rsid w:val="00E34538"/>
    <w:rsid w:val="00E3465C"/>
    <w:rsid w:val="00E34A5C"/>
    <w:rsid w:val="00E34EFD"/>
    <w:rsid w:val="00E35589"/>
    <w:rsid w:val="00E3563E"/>
    <w:rsid w:val="00E357B0"/>
    <w:rsid w:val="00E35F55"/>
    <w:rsid w:val="00E368FB"/>
    <w:rsid w:val="00E36CE0"/>
    <w:rsid w:val="00E375C4"/>
    <w:rsid w:val="00E378CC"/>
    <w:rsid w:val="00E379EC"/>
    <w:rsid w:val="00E37D66"/>
    <w:rsid w:val="00E4090B"/>
    <w:rsid w:val="00E40CB4"/>
    <w:rsid w:val="00E40CFE"/>
    <w:rsid w:val="00E4175F"/>
    <w:rsid w:val="00E417AA"/>
    <w:rsid w:val="00E41912"/>
    <w:rsid w:val="00E424E4"/>
    <w:rsid w:val="00E424E9"/>
    <w:rsid w:val="00E426EE"/>
    <w:rsid w:val="00E42C69"/>
    <w:rsid w:val="00E42E12"/>
    <w:rsid w:val="00E42FA7"/>
    <w:rsid w:val="00E43387"/>
    <w:rsid w:val="00E4341F"/>
    <w:rsid w:val="00E43AD8"/>
    <w:rsid w:val="00E44DF9"/>
    <w:rsid w:val="00E451C1"/>
    <w:rsid w:val="00E45790"/>
    <w:rsid w:val="00E45BB4"/>
    <w:rsid w:val="00E460AD"/>
    <w:rsid w:val="00E461F3"/>
    <w:rsid w:val="00E462A6"/>
    <w:rsid w:val="00E4707C"/>
    <w:rsid w:val="00E47BC9"/>
    <w:rsid w:val="00E47EE1"/>
    <w:rsid w:val="00E5077A"/>
    <w:rsid w:val="00E5116D"/>
    <w:rsid w:val="00E515D7"/>
    <w:rsid w:val="00E51AC6"/>
    <w:rsid w:val="00E51B89"/>
    <w:rsid w:val="00E51D79"/>
    <w:rsid w:val="00E51E37"/>
    <w:rsid w:val="00E52148"/>
    <w:rsid w:val="00E5221D"/>
    <w:rsid w:val="00E529E7"/>
    <w:rsid w:val="00E52AFE"/>
    <w:rsid w:val="00E5300E"/>
    <w:rsid w:val="00E53235"/>
    <w:rsid w:val="00E53405"/>
    <w:rsid w:val="00E53521"/>
    <w:rsid w:val="00E5382E"/>
    <w:rsid w:val="00E545A4"/>
    <w:rsid w:val="00E55335"/>
    <w:rsid w:val="00E55709"/>
    <w:rsid w:val="00E5593F"/>
    <w:rsid w:val="00E55B72"/>
    <w:rsid w:val="00E55F56"/>
    <w:rsid w:val="00E56CAB"/>
    <w:rsid w:val="00E57652"/>
    <w:rsid w:val="00E57852"/>
    <w:rsid w:val="00E57D0C"/>
    <w:rsid w:val="00E57FB7"/>
    <w:rsid w:val="00E57FEE"/>
    <w:rsid w:val="00E57FF2"/>
    <w:rsid w:val="00E60055"/>
    <w:rsid w:val="00E60810"/>
    <w:rsid w:val="00E60EE1"/>
    <w:rsid w:val="00E612CA"/>
    <w:rsid w:val="00E612FD"/>
    <w:rsid w:val="00E6136A"/>
    <w:rsid w:val="00E61633"/>
    <w:rsid w:val="00E61DF1"/>
    <w:rsid w:val="00E620A5"/>
    <w:rsid w:val="00E62812"/>
    <w:rsid w:val="00E63344"/>
    <w:rsid w:val="00E63606"/>
    <w:rsid w:val="00E63AAF"/>
    <w:rsid w:val="00E64077"/>
    <w:rsid w:val="00E6469A"/>
    <w:rsid w:val="00E64ABB"/>
    <w:rsid w:val="00E64EC3"/>
    <w:rsid w:val="00E64FF5"/>
    <w:rsid w:val="00E65C12"/>
    <w:rsid w:val="00E66668"/>
    <w:rsid w:val="00E66CE5"/>
    <w:rsid w:val="00E67531"/>
    <w:rsid w:val="00E677CD"/>
    <w:rsid w:val="00E67811"/>
    <w:rsid w:val="00E714A3"/>
    <w:rsid w:val="00E71509"/>
    <w:rsid w:val="00E7150D"/>
    <w:rsid w:val="00E71653"/>
    <w:rsid w:val="00E71A15"/>
    <w:rsid w:val="00E71B25"/>
    <w:rsid w:val="00E733D0"/>
    <w:rsid w:val="00E7364D"/>
    <w:rsid w:val="00E73D12"/>
    <w:rsid w:val="00E75173"/>
    <w:rsid w:val="00E75457"/>
    <w:rsid w:val="00E754CA"/>
    <w:rsid w:val="00E75809"/>
    <w:rsid w:val="00E75D0B"/>
    <w:rsid w:val="00E760C6"/>
    <w:rsid w:val="00E766E7"/>
    <w:rsid w:val="00E769AF"/>
    <w:rsid w:val="00E77B55"/>
    <w:rsid w:val="00E807DD"/>
    <w:rsid w:val="00E80A2D"/>
    <w:rsid w:val="00E80B55"/>
    <w:rsid w:val="00E81021"/>
    <w:rsid w:val="00E81884"/>
    <w:rsid w:val="00E824A5"/>
    <w:rsid w:val="00E82532"/>
    <w:rsid w:val="00E8261C"/>
    <w:rsid w:val="00E82A73"/>
    <w:rsid w:val="00E831B0"/>
    <w:rsid w:val="00E835A0"/>
    <w:rsid w:val="00E83835"/>
    <w:rsid w:val="00E839CB"/>
    <w:rsid w:val="00E83AD4"/>
    <w:rsid w:val="00E84164"/>
    <w:rsid w:val="00E84E35"/>
    <w:rsid w:val="00E85080"/>
    <w:rsid w:val="00E85661"/>
    <w:rsid w:val="00E85915"/>
    <w:rsid w:val="00E85EC5"/>
    <w:rsid w:val="00E86733"/>
    <w:rsid w:val="00E86823"/>
    <w:rsid w:val="00E86CDE"/>
    <w:rsid w:val="00E86D7C"/>
    <w:rsid w:val="00E86EA3"/>
    <w:rsid w:val="00E8700E"/>
    <w:rsid w:val="00E870ED"/>
    <w:rsid w:val="00E87297"/>
    <w:rsid w:val="00E8753F"/>
    <w:rsid w:val="00E87716"/>
    <w:rsid w:val="00E879C9"/>
    <w:rsid w:val="00E87B6C"/>
    <w:rsid w:val="00E87BE8"/>
    <w:rsid w:val="00E87F3A"/>
    <w:rsid w:val="00E9033B"/>
    <w:rsid w:val="00E905CB"/>
    <w:rsid w:val="00E90860"/>
    <w:rsid w:val="00E92741"/>
    <w:rsid w:val="00E92EB0"/>
    <w:rsid w:val="00E92F40"/>
    <w:rsid w:val="00E93755"/>
    <w:rsid w:val="00E93E56"/>
    <w:rsid w:val="00E942E7"/>
    <w:rsid w:val="00E94820"/>
    <w:rsid w:val="00E950BD"/>
    <w:rsid w:val="00E95BFF"/>
    <w:rsid w:val="00E9608A"/>
    <w:rsid w:val="00E960AD"/>
    <w:rsid w:val="00E9662F"/>
    <w:rsid w:val="00E977BB"/>
    <w:rsid w:val="00E9788E"/>
    <w:rsid w:val="00E97D86"/>
    <w:rsid w:val="00E97D8B"/>
    <w:rsid w:val="00EA0337"/>
    <w:rsid w:val="00EA0B90"/>
    <w:rsid w:val="00EA0F11"/>
    <w:rsid w:val="00EA1025"/>
    <w:rsid w:val="00EA21DA"/>
    <w:rsid w:val="00EA2242"/>
    <w:rsid w:val="00EA28A4"/>
    <w:rsid w:val="00EA377A"/>
    <w:rsid w:val="00EA3BC3"/>
    <w:rsid w:val="00EA419E"/>
    <w:rsid w:val="00EA4638"/>
    <w:rsid w:val="00EA4C4B"/>
    <w:rsid w:val="00EA56F1"/>
    <w:rsid w:val="00EA570E"/>
    <w:rsid w:val="00EA5D40"/>
    <w:rsid w:val="00EA664A"/>
    <w:rsid w:val="00EA6E7C"/>
    <w:rsid w:val="00EA7540"/>
    <w:rsid w:val="00EB0777"/>
    <w:rsid w:val="00EB08E1"/>
    <w:rsid w:val="00EB0E45"/>
    <w:rsid w:val="00EB13E4"/>
    <w:rsid w:val="00EB21E9"/>
    <w:rsid w:val="00EB2AB2"/>
    <w:rsid w:val="00EB3229"/>
    <w:rsid w:val="00EB33FA"/>
    <w:rsid w:val="00EB3659"/>
    <w:rsid w:val="00EB47E2"/>
    <w:rsid w:val="00EB536F"/>
    <w:rsid w:val="00EB5836"/>
    <w:rsid w:val="00EB5FCD"/>
    <w:rsid w:val="00EB6A69"/>
    <w:rsid w:val="00EB7553"/>
    <w:rsid w:val="00EB7741"/>
    <w:rsid w:val="00EC06D2"/>
    <w:rsid w:val="00EC0C83"/>
    <w:rsid w:val="00EC0CB4"/>
    <w:rsid w:val="00EC0E0A"/>
    <w:rsid w:val="00EC13D0"/>
    <w:rsid w:val="00EC31DB"/>
    <w:rsid w:val="00EC3278"/>
    <w:rsid w:val="00EC33B0"/>
    <w:rsid w:val="00EC3D27"/>
    <w:rsid w:val="00EC3E0D"/>
    <w:rsid w:val="00EC43B5"/>
    <w:rsid w:val="00EC4799"/>
    <w:rsid w:val="00EC4BCC"/>
    <w:rsid w:val="00EC5D8A"/>
    <w:rsid w:val="00EC5DCA"/>
    <w:rsid w:val="00EC63C7"/>
    <w:rsid w:val="00EC6AC0"/>
    <w:rsid w:val="00EC6C1B"/>
    <w:rsid w:val="00EC7293"/>
    <w:rsid w:val="00EC7584"/>
    <w:rsid w:val="00EC7623"/>
    <w:rsid w:val="00EC7CA7"/>
    <w:rsid w:val="00EC7CB1"/>
    <w:rsid w:val="00ED019C"/>
    <w:rsid w:val="00ED0352"/>
    <w:rsid w:val="00ED064A"/>
    <w:rsid w:val="00ED067E"/>
    <w:rsid w:val="00ED0D87"/>
    <w:rsid w:val="00ED12E4"/>
    <w:rsid w:val="00ED17DF"/>
    <w:rsid w:val="00ED1E61"/>
    <w:rsid w:val="00ED288D"/>
    <w:rsid w:val="00ED2C91"/>
    <w:rsid w:val="00ED37FA"/>
    <w:rsid w:val="00ED385C"/>
    <w:rsid w:val="00ED473D"/>
    <w:rsid w:val="00ED4826"/>
    <w:rsid w:val="00ED4962"/>
    <w:rsid w:val="00ED4C8F"/>
    <w:rsid w:val="00ED5324"/>
    <w:rsid w:val="00ED586B"/>
    <w:rsid w:val="00ED5ABB"/>
    <w:rsid w:val="00ED5C68"/>
    <w:rsid w:val="00ED62A9"/>
    <w:rsid w:val="00ED63F0"/>
    <w:rsid w:val="00ED665C"/>
    <w:rsid w:val="00ED6EC1"/>
    <w:rsid w:val="00ED709C"/>
    <w:rsid w:val="00ED70A2"/>
    <w:rsid w:val="00ED7430"/>
    <w:rsid w:val="00ED74C4"/>
    <w:rsid w:val="00ED7D4A"/>
    <w:rsid w:val="00ED7ED8"/>
    <w:rsid w:val="00ED7F5A"/>
    <w:rsid w:val="00EE001F"/>
    <w:rsid w:val="00EE08BF"/>
    <w:rsid w:val="00EE0954"/>
    <w:rsid w:val="00EE0E81"/>
    <w:rsid w:val="00EE0FBB"/>
    <w:rsid w:val="00EE18EC"/>
    <w:rsid w:val="00EE1934"/>
    <w:rsid w:val="00EE20F4"/>
    <w:rsid w:val="00EE2836"/>
    <w:rsid w:val="00EE2874"/>
    <w:rsid w:val="00EE2CA1"/>
    <w:rsid w:val="00EE2E22"/>
    <w:rsid w:val="00EE2F91"/>
    <w:rsid w:val="00EE3227"/>
    <w:rsid w:val="00EE33BE"/>
    <w:rsid w:val="00EE3DEC"/>
    <w:rsid w:val="00EE5FE9"/>
    <w:rsid w:val="00EE61E8"/>
    <w:rsid w:val="00EE62BD"/>
    <w:rsid w:val="00EE62D7"/>
    <w:rsid w:val="00EE706E"/>
    <w:rsid w:val="00EE776A"/>
    <w:rsid w:val="00EF07BC"/>
    <w:rsid w:val="00EF098B"/>
    <w:rsid w:val="00EF0CBF"/>
    <w:rsid w:val="00EF1A5A"/>
    <w:rsid w:val="00EF1DF4"/>
    <w:rsid w:val="00EF2080"/>
    <w:rsid w:val="00EF240F"/>
    <w:rsid w:val="00EF2C22"/>
    <w:rsid w:val="00EF2C87"/>
    <w:rsid w:val="00EF3240"/>
    <w:rsid w:val="00EF3B6B"/>
    <w:rsid w:val="00EF4386"/>
    <w:rsid w:val="00EF4B95"/>
    <w:rsid w:val="00EF4D7B"/>
    <w:rsid w:val="00EF5BD3"/>
    <w:rsid w:val="00EF62B7"/>
    <w:rsid w:val="00EF6A05"/>
    <w:rsid w:val="00EF78CB"/>
    <w:rsid w:val="00EF7B71"/>
    <w:rsid w:val="00F00180"/>
    <w:rsid w:val="00F01724"/>
    <w:rsid w:val="00F018F3"/>
    <w:rsid w:val="00F01C42"/>
    <w:rsid w:val="00F01EE6"/>
    <w:rsid w:val="00F02491"/>
    <w:rsid w:val="00F032CF"/>
    <w:rsid w:val="00F04A43"/>
    <w:rsid w:val="00F0503F"/>
    <w:rsid w:val="00F05EC4"/>
    <w:rsid w:val="00F06248"/>
    <w:rsid w:val="00F0627D"/>
    <w:rsid w:val="00F063C3"/>
    <w:rsid w:val="00F064C9"/>
    <w:rsid w:val="00F06AEA"/>
    <w:rsid w:val="00F07954"/>
    <w:rsid w:val="00F07972"/>
    <w:rsid w:val="00F07C4E"/>
    <w:rsid w:val="00F105F3"/>
    <w:rsid w:val="00F12B8C"/>
    <w:rsid w:val="00F13565"/>
    <w:rsid w:val="00F1386E"/>
    <w:rsid w:val="00F13E45"/>
    <w:rsid w:val="00F1459D"/>
    <w:rsid w:val="00F149A3"/>
    <w:rsid w:val="00F1644D"/>
    <w:rsid w:val="00F167CA"/>
    <w:rsid w:val="00F1712F"/>
    <w:rsid w:val="00F175EE"/>
    <w:rsid w:val="00F20E7C"/>
    <w:rsid w:val="00F21AB8"/>
    <w:rsid w:val="00F21C7A"/>
    <w:rsid w:val="00F229BB"/>
    <w:rsid w:val="00F22A11"/>
    <w:rsid w:val="00F22AAE"/>
    <w:rsid w:val="00F236A7"/>
    <w:rsid w:val="00F23763"/>
    <w:rsid w:val="00F24215"/>
    <w:rsid w:val="00F24533"/>
    <w:rsid w:val="00F24CED"/>
    <w:rsid w:val="00F25534"/>
    <w:rsid w:val="00F264F9"/>
    <w:rsid w:val="00F26739"/>
    <w:rsid w:val="00F2728F"/>
    <w:rsid w:val="00F3089A"/>
    <w:rsid w:val="00F309EB"/>
    <w:rsid w:val="00F31098"/>
    <w:rsid w:val="00F313A1"/>
    <w:rsid w:val="00F31797"/>
    <w:rsid w:val="00F3182E"/>
    <w:rsid w:val="00F32426"/>
    <w:rsid w:val="00F333BC"/>
    <w:rsid w:val="00F3373E"/>
    <w:rsid w:val="00F33868"/>
    <w:rsid w:val="00F33912"/>
    <w:rsid w:val="00F344DD"/>
    <w:rsid w:val="00F3495A"/>
    <w:rsid w:val="00F3534F"/>
    <w:rsid w:val="00F361B5"/>
    <w:rsid w:val="00F363AF"/>
    <w:rsid w:val="00F370F2"/>
    <w:rsid w:val="00F3717C"/>
    <w:rsid w:val="00F3721F"/>
    <w:rsid w:val="00F37853"/>
    <w:rsid w:val="00F37909"/>
    <w:rsid w:val="00F37C44"/>
    <w:rsid w:val="00F37E7E"/>
    <w:rsid w:val="00F4018D"/>
    <w:rsid w:val="00F40DEC"/>
    <w:rsid w:val="00F419A7"/>
    <w:rsid w:val="00F41AE8"/>
    <w:rsid w:val="00F429F4"/>
    <w:rsid w:val="00F43A78"/>
    <w:rsid w:val="00F440B9"/>
    <w:rsid w:val="00F447F9"/>
    <w:rsid w:val="00F45621"/>
    <w:rsid w:val="00F458F1"/>
    <w:rsid w:val="00F4659D"/>
    <w:rsid w:val="00F4664E"/>
    <w:rsid w:val="00F46697"/>
    <w:rsid w:val="00F46E35"/>
    <w:rsid w:val="00F46F85"/>
    <w:rsid w:val="00F470CE"/>
    <w:rsid w:val="00F47F94"/>
    <w:rsid w:val="00F502C0"/>
    <w:rsid w:val="00F50B38"/>
    <w:rsid w:val="00F515DB"/>
    <w:rsid w:val="00F51F01"/>
    <w:rsid w:val="00F52018"/>
    <w:rsid w:val="00F52673"/>
    <w:rsid w:val="00F52EFC"/>
    <w:rsid w:val="00F52F71"/>
    <w:rsid w:val="00F53086"/>
    <w:rsid w:val="00F5310A"/>
    <w:rsid w:val="00F53124"/>
    <w:rsid w:val="00F531DD"/>
    <w:rsid w:val="00F531E1"/>
    <w:rsid w:val="00F531E3"/>
    <w:rsid w:val="00F546FB"/>
    <w:rsid w:val="00F54A63"/>
    <w:rsid w:val="00F54E49"/>
    <w:rsid w:val="00F554D3"/>
    <w:rsid w:val="00F555CE"/>
    <w:rsid w:val="00F55B9B"/>
    <w:rsid w:val="00F55D74"/>
    <w:rsid w:val="00F57266"/>
    <w:rsid w:val="00F57596"/>
    <w:rsid w:val="00F57B35"/>
    <w:rsid w:val="00F57FC1"/>
    <w:rsid w:val="00F6015E"/>
    <w:rsid w:val="00F601CE"/>
    <w:rsid w:val="00F60448"/>
    <w:rsid w:val="00F60C40"/>
    <w:rsid w:val="00F618D3"/>
    <w:rsid w:val="00F6248E"/>
    <w:rsid w:val="00F62D17"/>
    <w:rsid w:val="00F62EB0"/>
    <w:rsid w:val="00F640BB"/>
    <w:rsid w:val="00F642F1"/>
    <w:rsid w:val="00F6557F"/>
    <w:rsid w:val="00F65CF6"/>
    <w:rsid w:val="00F6626D"/>
    <w:rsid w:val="00F66ABC"/>
    <w:rsid w:val="00F66D19"/>
    <w:rsid w:val="00F66E0C"/>
    <w:rsid w:val="00F679A4"/>
    <w:rsid w:val="00F701FC"/>
    <w:rsid w:val="00F702E4"/>
    <w:rsid w:val="00F70B73"/>
    <w:rsid w:val="00F70DA7"/>
    <w:rsid w:val="00F71757"/>
    <w:rsid w:val="00F71997"/>
    <w:rsid w:val="00F71BE4"/>
    <w:rsid w:val="00F71FA1"/>
    <w:rsid w:val="00F72054"/>
    <w:rsid w:val="00F72093"/>
    <w:rsid w:val="00F722DA"/>
    <w:rsid w:val="00F7267E"/>
    <w:rsid w:val="00F72C89"/>
    <w:rsid w:val="00F73D1A"/>
    <w:rsid w:val="00F73FE6"/>
    <w:rsid w:val="00F74BB6"/>
    <w:rsid w:val="00F76929"/>
    <w:rsid w:val="00F7729E"/>
    <w:rsid w:val="00F77423"/>
    <w:rsid w:val="00F77560"/>
    <w:rsid w:val="00F77AA2"/>
    <w:rsid w:val="00F77E2E"/>
    <w:rsid w:val="00F80341"/>
    <w:rsid w:val="00F80DB5"/>
    <w:rsid w:val="00F80E59"/>
    <w:rsid w:val="00F80F93"/>
    <w:rsid w:val="00F81626"/>
    <w:rsid w:val="00F824D6"/>
    <w:rsid w:val="00F832D2"/>
    <w:rsid w:val="00F83A76"/>
    <w:rsid w:val="00F83AC7"/>
    <w:rsid w:val="00F83CB6"/>
    <w:rsid w:val="00F83E20"/>
    <w:rsid w:val="00F84245"/>
    <w:rsid w:val="00F843F8"/>
    <w:rsid w:val="00F85CD7"/>
    <w:rsid w:val="00F8630B"/>
    <w:rsid w:val="00F86997"/>
    <w:rsid w:val="00F90426"/>
    <w:rsid w:val="00F91CF8"/>
    <w:rsid w:val="00F91EFA"/>
    <w:rsid w:val="00F9252E"/>
    <w:rsid w:val="00F9299D"/>
    <w:rsid w:val="00F92A4D"/>
    <w:rsid w:val="00F9397A"/>
    <w:rsid w:val="00F93B92"/>
    <w:rsid w:val="00F94582"/>
    <w:rsid w:val="00F94870"/>
    <w:rsid w:val="00F949A5"/>
    <w:rsid w:val="00F94A36"/>
    <w:rsid w:val="00F94AE2"/>
    <w:rsid w:val="00F956C8"/>
    <w:rsid w:val="00F95780"/>
    <w:rsid w:val="00F95DEC"/>
    <w:rsid w:val="00F969B1"/>
    <w:rsid w:val="00FA01AC"/>
    <w:rsid w:val="00FA06B2"/>
    <w:rsid w:val="00FA0F33"/>
    <w:rsid w:val="00FA1039"/>
    <w:rsid w:val="00FA1391"/>
    <w:rsid w:val="00FA1539"/>
    <w:rsid w:val="00FA17F1"/>
    <w:rsid w:val="00FA2761"/>
    <w:rsid w:val="00FA3B51"/>
    <w:rsid w:val="00FA3B9D"/>
    <w:rsid w:val="00FA415A"/>
    <w:rsid w:val="00FA4184"/>
    <w:rsid w:val="00FA42C3"/>
    <w:rsid w:val="00FA466D"/>
    <w:rsid w:val="00FA478D"/>
    <w:rsid w:val="00FA5A34"/>
    <w:rsid w:val="00FA5A9E"/>
    <w:rsid w:val="00FA7669"/>
    <w:rsid w:val="00FB043C"/>
    <w:rsid w:val="00FB15CB"/>
    <w:rsid w:val="00FB1A14"/>
    <w:rsid w:val="00FB1A43"/>
    <w:rsid w:val="00FB23F8"/>
    <w:rsid w:val="00FB2515"/>
    <w:rsid w:val="00FB270C"/>
    <w:rsid w:val="00FB2C4A"/>
    <w:rsid w:val="00FB2E79"/>
    <w:rsid w:val="00FB39EB"/>
    <w:rsid w:val="00FB3A73"/>
    <w:rsid w:val="00FB432E"/>
    <w:rsid w:val="00FB5117"/>
    <w:rsid w:val="00FB54C5"/>
    <w:rsid w:val="00FB5CEB"/>
    <w:rsid w:val="00FB6B6B"/>
    <w:rsid w:val="00FB6FEF"/>
    <w:rsid w:val="00FB70A2"/>
    <w:rsid w:val="00FB777C"/>
    <w:rsid w:val="00FB77AD"/>
    <w:rsid w:val="00FC0A3B"/>
    <w:rsid w:val="00FC0A70"/>
    <w:rsid w:val="00FC0B9B"/>
    <w:rsid w:val="00FC1494"/>
    <w:rsid w:val="00FC1673"/>
    <w:rsid w:val="00FC2652"/>
    <w:rsid w:val="00FC2B3F"/>
    <w:rsid w:val="00FC2CF8"/>
    <w:rsid w:val="00FC2E88"/>
    <w:rsid w:val="00FC3501"/>
    <w:rsid w:val="00FC3535"/>
    <w:rsid w:val="00FC3B19"/>
    <w:rsid w:val="00FC51EF"/>
    <w:rsid w:val="00FC6385"/>
    <w:rsid w:val="00FC6445"/>
    <w:rsid w:val="00FC65C7"/>
    <w:rsid w:val="00FC691B"/>
    <w:rsid w:val="00FC71BB"/>
    <w:rsid w:val="00FC722A"/>
    <w:rsid w:val="00FC74EF"/>
    <w:rsid w:val="00FD0638"/>
    <w:rsid w:val="00FD13F4"/>
    <w:rsid w:val="00FD180E"/>
    <w:rsid w:val="00FD1D73"/>
    <w:rsid w:val="00FD1DD4"/>
    <w:rsid w:val="00FD2DD8"/>
    <w:rsid w:val="00FD3F03"/>
    <w:rsid w:val="00FD538D"/>
    <w:rsid w:val="00FD6129"/>
    <w:rsid w:val="00FD61F4"/>
    <w:rsid w:val="00FD662B"/>
    <w:rsid w:val="00FD66EE"/>
    <w:rsid w:val="00FD67A1"/>
    <w:rsid w:val="00FD67E0"/>
    <w:rsid w:val="00FD73CA"/>
    <w:rsid w:val="00FE0325"/>
    <w:rsid w:val="00FE06AC"/>
    <w:rsid w:val="00FE0934"/>
    <w:rsid w:val="00FE12B4"/>
    <w:rsid w:val="00FE2E7C"/>
    <w:rsid w:val="00FE31F5"/>
    <w:rsid w:val="00FE33B7"/>
    <w:rsid w:val="00FE3D79"/>
    <w:rsid w:val="00FE47CC"/>
    <w:rsid w:val="00FE5148"/>
    <w:rsid w:val="00FE54FB"/>
    <w:rsid w:val="00FE58B1"/>
    <w:rsid w:val="00FE7079"/>
    <w:rsid w:val="00FE76FD"/>
    <w:rsid w:val="00FE790F"/>
    <w:rsid w:val="00FE7EEE"/>
    <w:rsid w:val="00FF0567"/>
    <w:rsid w:val="00FF0DEC"/>
    <w:rsid w:val="00FF2692"/>
    <w:rsid w:val="00FF2864"/>
    <w:rsid w:val="00FF289E"/>
    <w:rsid w:val="00FF2C2C"/>
    <w:rsid w:val="00FF2C9C"/>
    <w:rsid w:val="00FF301D"/>
    <w:rsid w:val="00FF32A1"/>
    <w:rsid w:val="00FF37B9"/>
    <w:rsid w:val="00FF3E21"/>
    <w:rsid w:val="00FF4F32"/>
    <w:rsid w:val="00FF5D0B"/>
    <w:rsid w:val="00FF5F9A"/>
    <w:rsid w:val="00FF62E3"/>
    <w:rsid w:val="00FF66DB"/>
    <w:rsid w:val="00FF6876"/>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40675"/>
  <w15:chartTrackingRefBased/>
  <w15:docId w15:val="{90626E4E-7CF4-43B3-BF14-40C157D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1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1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1A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61A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61A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61A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61A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61A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1A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C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1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61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E61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61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61A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6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1AE"/>
    <w:rPr>
      <w:rFonts w:asciiTheme="majorHAnsi" w:eastAsiaTheme="majorEastAsia" w:hAnsiTheme="majorHAnsi" w:cstheme="majorBidi"/>
      <w:i/>
      <w:iCs/>
      <w:color w:val="272727" w:themeColor="text1" w:themeTint="D8"/>
      <w:sz w:val="21"/>
      <w:szCs w:val="21"/>
    </w:rPr>
  </w:style>
  <w:style w:type="paragraph" w:styleId="FootnoteText">
    <w:name w:val="footnote text"/>
    <w:aliases w:val="ALTS FOOTNOTE,fn"/>
    <w:basedOn w:val="Normal"/>
    <w:link w:val="FootnoteTextChar"/>
    <w:uiPriority w:val="99"/>
    <w:unhideWhenUsed/>
    <w:rsid w:val="00D6746D"/>
    <w:pPr>
      <w:spacing w:after="0" w:line="240" w:lineRule="auto"/>
    </w:pPr>
    <w:rPr>
      <w:sz w:val="20"/>
      <w:szCs w:val="20"/>
    </w:rPr>
  </w:style>
  <w:style w:type="character" w:customStyle="1" w:styleId="FootnoteTextChar">
    <w:name w:val="Footnote Text Char"/>
    <w:aliases w:val="ALTS FOOTNOTE Char,fn Char"/>
    <w:basedOn w:val="DefaultParagraphFont"/>
    <w:link w:val="FootnoteText"/>
    <w:uiPriority w:val="99"/>
    <w:rsid w:val="00EA28A4"/>
    <w:rPr>
      <w:sz w:val="20"/>
      <w:szCs w:val="20"/>
    </w:rPr>
  </w:style>
  <w:style w:type="character" w:styleId="FootnoteReference">
    <w:name w:val="footnote reference"/>
    <w:basedOn w:val="DefaultParagraphFont"/>
    <w:semiHidden/>
    <w:unhideWhenUsed/>
    <w:rsid w:val="00EA28A4"/>
    <w:rPr>
      <w:vertAlign w:val="superscript"/>
    </w:rPr>
  </w:style>
  <w:style w:type="character" w:styleId="Hyperlink">
    <w:name w:val="Hyperlink"/>
    <w:basedOn w:val="DefaultParagraphFont"/>
    <w:uiPriority w:val="99"/>
    <w:unhideWhenUsed/>
    <w:rsid w:val="008C6655"/>
    <w:rPr>
      <w:color w:val="0000FF"/>
      <w:u w:val="single"/>
    </w:rPr>
  </w:style>
  <w:style w:type="paragraph" w:styleId="ListParagraph">
    <w:name w:val="List Paragraph"/>
    <w:basedOn w:val="Normal"/>
    <w:uiPriority w:val="34"/>
    <w:qFormat/>
    <w:rsid w:val="008C6655"/>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B9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DCC"/>
    <w:rPr>
      <w:color w:val="954F72" w:themeColor="followedHyperlink"/>
      <w:u w:val="single"/>
    </w:rPr>
  </w:style>
  <w:style w:type="paragraph" w:styleId="Header">
    <w:name w:val="header"/>
    <w:basedOn w:val="Normal"/>
    <w:link w:val="HeaderChar"/>
    <w:uiPriority w:val="99"/>
    <w:unhideWhenUsed/>
    <w:rsid w:val="0004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9C"/>
  </w:style>
  <w:style w:type="paragraph" w:styleId="Footer">
    <w:name w:val="footer"/>
    <w:basedOn w:val="Normal"/>
    <w:link w:val="FooterChar"/>
    <w:uiPriority w:val="99"/>
    <w:unhideWhenUsed/>
    <w:rsid w:val="0004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9C"/>
  </w:style>
  <w:style w:type="paragraph" w:styleId="TOCHeading">
    <w:name w:val="TOC Heading"/>
    <w:basedOn w:val="Heading1"/>
    <w:next w:val="Normal"/>
    <w:uiPriority w:val="39"/>
    <w:unhideWhenUsed/>
    <w:qFormat/>
    <w:rsid w:val="00EC6C1B"/>
    <w:pPr>
      <w:outlineLvl w:val="9"/>
    </w:pPr>
    <w:rPr>
      <w:lang w:val="en-US"/>
    </w:rPr>
  </w:style>
  <w:style w:type="paragraph" w:styleId="TOC1">
    <w:name w:val="toc 1"/>
    <w:basedOn w:val="Normal"/>
    <w:next w:val="Normal"/>
    <w:autoRedefine/>
    <w:uiPriority w:val="39"/>
    <w:unhideWhenUsed/>
    <w:rsid w:val="00F00180"/>
    <w:pPr>
      <w:tabs>
        <w:tab w:val="left" w:pos="440"/>
        <w:tab w:val="right" w:leader="dot" w:pos="9350"/>
      </w:tabs>
      <w:spacing w:after="100"/>
      <w:ind w:firstLine="142"/>
    </w:pPr>
  </w:style>
  <w:style w:type="paragraph" w:styleId="TOC2">
    <w:name w:val="toc 2"/>
    <w:basedOn w:val="Normal"/>
    <w:next w:val="Normal"/>
    <w:autoRedefine/>
    <w:uiPriority w:val="39"/>
    <w:unhideWhenUsed/>
    <w:rsid w:val="002524A8"/>
    <w:pPr>
      <w:tabs>
        <w:tab w:val="left" w:pos="880"/>
        <w:tab w:val="right" w:leader="dot" w:pos="9350"/>
      </w:tabs>
      <w:spacing w:after="100"/>
      <w:ind w:left="426"/>
    </w:pPr>
  </w:style>
  <w:style w:type="paragraph" w:styleId="NormalWeb">
    <w:name w:val="Normal (Web)"/>
    <w:basedOn w:val="Normal"/>
    <w:uiPriority w:val="99"/>
    <w:unhideWhenUsed/>
    <w:rsid w:val="000C29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2929"/>
    <w:rPr>
      <w:b/>
      <w:bCs/>
    </w:rPr>
  </w:style>
  <w:style w:type="paragraph" w:customStyle="1" w:styleId="Style1">
    <w:name w:val="Style1"/>
    <w:basedOn w:val="Normal"/>
    <w:rsid w:val="000C2929"/>
    <w:pPr>
      <w:tabs>
        <w:tab w:val="left" w:pos="720"/>
        <w:tab w:val="left" w:pos="1440"/>
      </w:tabs>
      <w:spacing w:after="0" w:line="240" w:lineRule="auto"/>
    </w:pPr>
    <w:rPr>
      <w:rFonts w:ascii="Arial" w:eastAsia="Times New Roman" w:hAnsi="Arial" w:cs="Times New Roman"/>
      <w:szCs w:val="20"/>
      <w:lang w:val="en-US"/>
    </w:rPr>
  </w:style>
  <w:style w:type="paragraph" w:customStyle="1" w:styleId="Normal1">
    <w:name w:val="Normal1"/>
    <w:basedOn w:val="Normal"/>
    <w:rsid w:val="000C2929"/>
    <w:pPr>
      <w:spacing w:after="0" w:line="240" w:lineRule="auto"/>
      <w:jc w:val="both"/>
    </w:pPr>
    <w:rPr>
      <w:rFonts w:ascii="Times" w:eastAsia="Times New Roman" w:hAnsi="Times" w:cs="Times New Roman"/>
      <w:sz w:val="24"/>
      <w:szCs w:val="24"/>
      <w:lang w:val="en-US"/>
    </w:rPr>
  </w:style>
  <w:style w:type="paragraph" w:customStyle="1" w:styleId="xmsonormal">
    <w:name w:val="x_msonormal"/>
    <w:basedOn w:val="Normal"/>
    <w:rsid w:val="00681313"/>
    <w:pPr>
      <w:spacing w:after="0" w:line="240" w:lineRule="auto"/>
    </w:pPr>
    <w:rPr>
      <w:rFonts w:ascii="Calibri" w:hAnsi="Calibri" w:cs="Calibri"/>
      <w:lang w:eastAsia="en-CA"/>
    </w:rPr>
  </w:style>
  <w:style w:type="paragraph" w:customStyle="1" w:styleId="xmsolistparagraph">
    <w:name w:val="x_msolistparagraph"/>
    <w:basedOn w:val="Normal"/>
    <w:rsid w:val="00681313"/>
    <w:pPr>
      <w:spacing w:after="0" w:line="240" w:lineRule="auto"/>
      <w:ind w:left="720"/>
    </w:pPr>
    <w:rPr>
      <w:rFonts w:ascii="Calibri" w:hAnsi="Calibri" w:cs="Calibri"/>
      <w:lang w:eastAsia="en-CA"/>
    </w:rPr>
  </w:style>
  <w:style w:type="paragraph" w:styleId="TOC3">
    <w:name w:val="toc 3"/>
    <w:basedOn w:val="Normal"/>
    <w:next w:val="Normal"/>
    <w:autoRedefine/>
    <w:uiPriority w:val="39"/>
    <w:unhideWhenUsed/>
    <w:rsid w:val="00A43F56"/>
    <w:pPr>
      <w:spacing w:after="100"/>
      <w:ind w:left="440"/>
    </w:pPr>
  </w:style>
  <w:style w:type="paragraph" w:styleId="BalloonText">
    <w:name w:val="Balloon Text"/>
    <w:basedOn w:val="Normal"/>
    <w:link w:val="BalloonTextChar"/>
    <w:uiPriority w:val="99"/>
    <w:semiHidden/>
    <w:unhideWhenUsed/>
    <w:rsid w:val="00A5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B6"/>
    <w:rPr>
      <w:rFonts w:ascii="Segoe UI" w:hAnsi="Segoe UI" w:cs="Segoe UI"/>
      <w:sz w:val="18"/>
      <w:szCs w:val="18"/>
    </w:rPr>
  </w:style>
  <w:style w:type="character" w:styleId="PageNumber">
    <w:name w:val="page number"/>
    <w:basedOn w:val="DefaultParagraphFont"/>
    <w:rsid w:val="00A548B6"/>
    <w:rPr>
      <w:sz w:val="20"/>
      <w:szCs w:val="20"/>
    </w:rPr>
  </w:style>
  <w:style w:type="paragraph" w:styleId="Revision">
    <w:name w:val="Revision"/>
    <w:hidden/>
    <w:uiPriority w:val="99"/>
    <w:semiHidden/>
    <w:rsid w:val="00B13CEC"/>
    <w:pPr>
      <w:spacing w:after="0" w:line="240" w:lineRule="auto"/>
    </w:pPr>
  </w:style>
  <w:style w:type="character" w:styleId="CommentReference">
    <w:name w:val="annotation reference"/>
    <w:basedOn w:val="DefaultParagraphFont"/>
    <w:uiPriority w:val="99"/>
    <w:semiHidden/>
    <w:unhideWhenUsed/>
    <w:rsid w:val="0088252A"/>
    <w:rPr>
      <w:sz w:val="16"/>
      <w:szCs w:val="16"/>
    </w:rPr>
  </w:style>
  <w:style w:type="paragraph" w:styleId="CommentText">
    <w:name w:val="annotation text"/>
    <w:basedOn w:val="Normal"/>
    <w:link w:val="CommentTextChar"/>
    <w:uiPriority w:val="99"/>
    <w:unhideWhenUsed/>
    <w:rsid w:val="0088252A"/>
    <w:pPr>
      <w:spacing w:line="240" w:lineRule="auto"/>
    </w:pPr>
    <w:rPr>
      <w:sz w:val="20"/>
      <w:szCs w:val="20"/>
    </w:rPr>
  </w:style>
  <w:style w:type="character" w:customStyle="1" w:styleId="CommentTextChar">
    <w:name w:val="Comment Text Char"/>
    <w:basedOn w:val="DefaultParagraphFont"/>
    <w:link w:val="CommentText"/>
    <w:uiPriority w:val="99"/>
    <w:rsid w:val="0088252A"/>
    <w:rPr>
      <w:sz w:val="20"/>
      <w:szCs w:val="20"/>
    </w:rPr>
  </w:style>
  <w:style w:type="paragraph" w:styleId="CommentSubject">
    <w:name w:val="annotation subject"/>
    <w:basedOn w:val="CommentText"/>
    <w:next w:val="CommentText"/>
    <w:link w:val="CommentSubjectChar"/>
    <w:uiPriority w:val="99"/>
    <w:semiHidden/>
    <w:unhideWhenUsed/>
    <w:rsid w:val="0088252A"/>
    <w:rPr>
      <w:b/>
      <w:bCs/>
    </w:rPr>
  </w:style>
  <w:style w:type="character" w:customStyle="1" w:styleId="CommentSubjectChar">
    <w:name w:val="Comment Subject Char"/>
    <w:basedOn w:val="CommentTextChar"/>
    <w:link w:val="CommentSubject"/>
    <w:uiPriority w:val="99"/>
    <w:semiHidden/>
    <w:rsid w:val="0088252A"/>
    <w:rPr>
      <w:b/>
      <w:bCs/>
      <w:sz w:val="20"/>
      <w:szCs w:val="20"/>
    </w:rPr>
  </w:style>
  <w:style w:type="paragraph" w:customStyle="1" w:styleId="Figure">
    <w:name w:val="Figure"/>
    <w:basedOn w:val="Normal"/>
    <w:link w:val="FigureChar"/>
    <w:qFormat/>
    <w:rsid w:val="00B15986"/>
    <w:pPr>
      <w:jc w:val="center"/>
    </w:pPr>
    <w:rPr>
      <w:rFonts w:ascii="Arial" w:hAnsi="Arial" w:cs="Arial"/>
    </w:rPr>
  </w:style>
  <w:style w:type="character" w:customStyle="1" w:styleId="FigureChar">
    <w:name w:val="Figure Char"/>
    <w:basedOn w:val="DefaultParagraphFont"/>
    <w:link w:val="Figure"/>
    <w:rsid w:val="00B15986"/>
    <w:rPr>
      <w:rFonts w:ascii="Arial" w:hAnsi="Arial" w:cs="Arial"/>
    </w:rPr>
  </w:style>
  <w:style w:type="paragraph" w:customStyle="1" w:styleId="definition">
    <w:name w:val="definition"/>
    <w:basedOn w:val="Normal"/>
    <w:rsid w:val="000824AC"/>
    <w:pPr>
      <w:spacing w:before="100" w:beforeAutospacing="1" w:after="100" w:afterAutospacing="1" w:line="240" w:lineRule="auto"/>
    </w:pPr>
    <w:rPr>
      <w:rFonts w:ascii="Calibri" w:hAnsi="Calibri" w:cs="Calibri"/>
      <w:lang w:eastAsia="en-CA"/>
    </w:rPr>
  </w:style>
  <w:style w:type="paragraph" w:customStyle="1" w:styleId="paragraph">
    <w:name w:val="paragraph"/>
    <w:basedOn w:val="Normal"/>
    <w:rsid w:val="000824AC"/>
    <w:pPr>
      <w:spacing w:before="100" w:beforeAutospacing="1" w:after="100" w:afterAutospacing="1" w:line="240" w:lineRule="auto"/>
    </w:pPr>
    <w:rPr>
      <w:rFonts w:ascii="Calibri" w:hAnsi="Calibri" w:cs="Calibri"/>
      <w:lang w:eastAsia="en-CA"/>
    </w:rPr>
  </w:style>
  <w:style w:type="character" w:customStyle="1" w:styleId="definedtermlink">
    <w:name w:val="definedtermlink"/>
    <w:basedOn w:val="DefaultParagraphFont"/>
    <w:rsid w:val="000824AC"/>
  </w:style>
  <w:style w:type="character" w:customStyle="1" w:styleId="lawlabel">
    <w:name w:val="lawlabel"/>
    <w:basedOn w:val="DefaultParagraphFont"/>
    <w:rsid w:val="000824AC"/>
  </w:style>
  <w:style w:type="character" w:styleId="HTMLDefinition">
    <w:name w:val="HTML Definition"/>
    <w:basedOn w:val="DefaultParagraphFont"/>
    <w:uiPriority w:val="99"/>
    <w:semiHidden/>
    <w:unhideWhenUsed/>
    <w:rsid w:val="000824AC"/>
    <w:rPr>
      <w:i/>
      <w:iCs/>
    </w:rPr>
  </w:style>
  <w:style w:type="character" w:customStyle="1" w:styleId="UnresolvedMention1">
    <w:name w:val="Unresolved Mention1"/>
    <w:basedOn w:val="DefaultParagraphFont"/>
    <w:uiPriority w:val="99"/>
    <w:semiHidden/>
    <w:unhideWhenUsed/>
    <w:rsid w:val="0018722E"/>
    <w:rPr>
      <w:color w:val="605E5C"/>
      <w:shd w:val="clear" w:color="auto" w:fill="E1DFDD"/>
    </w:rPr>
  </w:style>
  <w:style w:type="character" w:styleId="Emphasis">
    <w:name w:val="Emphasis"/>
    <w:basedOn w:val="DefaultParagraphFont"/>
    <w:uiPriority w:val="20"/>
    <w:qFormat/>
    <w:rsid w:val="00523AC4"/>
    <w:rPr>
      <w:i/>
      <w:iCs/>
    </w:rPr>
  </w:style>
  <w:style w:type="character" w:customStyle="1" w:styleId="wb-inv">
    <w:name w:val="wb-inv"/>
    <w:basedOn w:val="DefaultParagraphFont"/>
    <w:rsid w:val="00523AC4"/>
  </w:style>
  <w:style w:type="character" w:customStyle="1" w:styleId="ui-provider">
    <w:name w:val="ui-provider"/>
    <w:basedOn w:val="DefaultParagraphFont"/>
    <w:rsid w:val="004660B9"/>
  </w:style>
  <w:style w:type="character" w:customStyle="1" w:styleId="UnresolvedMention2">
    <w:name w:val="Unresolved Mention2"/>
    <w:basedOn w:val="DefaultParagraphFont"/>
    <w:uiPriority w:val="99"/>
    <w:semiHidden/>
    <w:unhideWhenUsed/>
    <w:rsid w:val="00624CDA"/>
    <w:rPr>
      <w:color w:val="605E5C"/>
      <w:shd w:val="clear" w:color="auto" w:fill="E1DFDD"/>
    </w:rPr>
  </w:style>
  <w:style w:type="character" w:customStyle="1" w:styleId="UnresolvedMention3">
    <w:name w:val="Unresolved Mention3"/>
    <w:basedOn w:val="DefaultParagraphFont"/>
    <w:uiPriority w:val="99"/>
    <w:semiHidden/>
    <w:unhideWhenUsed/>
    <w:rsid w:val="00AA3E56"/>
    <w:rPr>
      <w:color w:val="605E5C"/>
      <w:shd w:val="clear" w:color="auto" w:fill="E1DFDD"/>
    </w:rPr>
  </w:style>
  <w:style w:type="character" w:customStyle="1" w:styleId="UnresolvedMention4">
    <w:name w:val="Unresolved Mention4"/>
    <w:basedOn w:val="DefaultParagraphFont"/>
    <w:uiPriority w:val="99"/>
    <w:semiHidden/>
    <w:unhideWhenUsed/>
    <w:rsid w:val="00AC5D7E"/>
    <w:rPr>
      <w:color w:val="605E5C"/>
      <w:shd w:val="clear" w:color="auto" w:fill="E1DFDD"/>
    </w:rPr>
  </w:style>
  <w:style w:type="character" w:customStyle="1" w:styleId="UnresolvedMention5">
    <w:name w:val="Unresolved Mention5"/>
    <w:basedOn w:val="DefaultParagraphFont"/>
    <w:uiPriority w:val="99"/>
    <w:semiHidden/>
    <w:unhideWhenUsed/>
    <w:rsid w:val="00EA664A"/>
    <w:rPr>
      <w:color w:val="605E5C"/>
      <w:shd w:val="clear" w:color="auto" w:fill="E1DFDD"/>
    </w:rPr>
  </w:style>
  <w:style w:type="paragraph" w:styleId="Caption">
    <w:name w:val="caption"/>
    <w:basedOn w:val="Normal"/>
    <w:next w:val="Normal"/>
    <w:uiPriority w:val="35"/>
    <w:unhideWhenUsed/>
    <w:qFormat/>
    <w:rsid w:val="00F701F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34F87"/>
    <w:pPr>
      <w:spacing w:after="0"/>
    </w:pPr>
  </w:style>
  <w:style w:type="character" w:customStyle="1" w:styleId="UnresolvedMention6">
    <w:name w:val="Unresolved Mention6"/>
    <w:basedOn w:val="DefaultParagraphFont"/>
    <w:uiPriority w:val="99"/>
    <w:semiHidden/>
    <w:unhideWhenUsed/>
    <w:rsid w:val="00924761"/>
    <w:rPr>
      <w:color w:val="605E5C"/>
      <w:shd w:val="clear" w:color="auto" w:fill="E1DFDD"/>
    </w:rPr>
  </w:style>
  <w:style w:type="character" w:customStyle="1" w:styleId="cf01">
    <w:name w:val="cf01"/>
    <w:basedOn w:val="DefaultParagraphFont"/>
    <w:rsid w:val="00CA6DD5"/>
    <w:rPr>
      <w:rFonts w:ascii="Segoe UI" w:hAnsi="Segoe UI" w:cs="Segoe UI" w:hint="default"/>
      <w:b/>
      <w:bCs/>
      <w:i/>
      <w:iCs/>
      <w:sz w:val="18"/>
      <w:szCs w:val="18"/>
    </w:rPr>
  </w:style>
  <w:style w:type="character" w:customStyle="1" w:styleId="cf11">
    <w:name w:val="cf11"/>
    <w:basedOn w:val="DefaultParagraphFont"/>
    <w:rsid w:val="00CA6DD5"/>
    <w:rPr>
      <w:rFonts w:ascii="Segoe UI" w:hAnsi="Segoe UI" w:cs="Segoe UI" w:hint="default"/>
      <w:i/>
      <w:iCs/>
      <w:sz w:val="18"/>
      <w:szCs w:val="18"/>
    </w:rPr>
  </w:style>
  <w:style w:type="character" w:customStyle="1" w:styleId="cf21">
    <w:name w:val="cf21"/>
    <w:basedOn w:val="DefaultParagraphFont"/>
    <w:rsid w:val="00CA6DD5"/>
    <w:rPr>
      <w:rFonts w:ascii="Segoe UI" w:hAnsi="Segoe UI" w:cs="Segoe UI" w:hint="default"/>
      <w:sz w:val="18"/>
      <w:szCs w:val="18"/>
    </w:rPr>
  </w:style>
  <w:style w:type="character" w:customStyle="1" w:styleId="UnresolvedMention7">
    <w:name w:val="Unresolved Mention7"/>
    <w:basedOn w:val="DefaultParagraphFont"/>
    <w:uiPriority w:val="99"/>
    <w:semiHidden/>
    <w:unhideWhenUsed/>
    <w:rsid w:val="00566A98"/>
    <w:rPr>
      <w:color w:val="605E5C"/>
      <w:shd w:val="clear" w:color="auto" w:fill="E1DFDD"/>
    </w:rPr>
  </w:style>
  <w:style w:type="character" w:styleId="UnresolvedMention">
    <w:name w:val="Unresolved Mention"/>
    <w:basedOn w:val="DefaultParagraphFont"/>
    <w:uiPriority w:val="99"/>
    <w:semiHidden/>
    <w:unhideWhenUsed/>
    <w:rsid w:val="00D67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499">
      <w:bodyDiv w:val="1"/>
      <w:marLeft w:val="0"/>
      <w:marRight w:val="0"/>
      <w:marTop w:val="0"/>
      <w:marBottom w:val="0"/>
      <w:divBdr>
        <w:top w:val="none" w:sz="0" w:space="0" w:color="auto"/>
        <w:left w:val="none" w:sz="0" w:space="0" w:color="auto"/>
        <w:bottom w:val="none" w:sz="0" w:space="0" w:color="auto"/>
        <w:right w:val="none" w:sz="0" w:space="0" w:color="auto"/>
      </w:divBdr>
    </w:div>
    <w:div w:id="35127304">
      <w:bodyDiv w:val="1"/>
      <w:marLeft w:val="0"/>
      <w:marRight w:val="0"/>
      <w:marTop w:val="0"/>
      <w:marBottom w:val="0"/>
      <w:divBdr>
        <w:top w:val="none" w:sz="0" w:space="0" w:color="auto"/>
        <w:left w:val="none" w:sz="0" w:space="0" w:color="auto"/>
        <w:bottom w:val="none" w:sz="0" w:space="0" w:color="auto"/>
        <w:right w:val="none" w:sz="0" w:space="0" w:color="auto"/>
      </w:divBdr>
    </w:div>
    <w:div w:id="165949573">
      <w:bodyDiv w:val="1"/>
      <w:marLeft w:val="0"/>
      <w:marRight w:val="0"/>
      <w:marTop w:val="0"/>
      <w:marBottom w:val="0"/>
      <w:divBdr>
        <w:top w:val="none" w:sz="0" w:space="0" w:color="auto"/>
        <w:left w:val="none" w:sz="0" w:space="0" w:color="auto"/>
        <w:bottom w:val="none" w:sz="0" w:space="0" w:color="auto"/>
        <w:right w:val="none" w:sz="0" w:space="0" w:color="auto"/>
      </w:divBdr>
    </w:div>
    <w:div w:id="168062668">
      <w:bodyDiv w:val="1"/>
      <w:marLeft w:val="0"/>
      <w:marRight w:val="0"/>
      <w:marTop w:val="0"/>
      <w:marBottom w:val="0"/>
      <w:divBdr>
        <w:top w:val="none" w:sz="0" w:space="0" w:color="auto"/>
        <w:left w:val="none" w:sz="0" w:space="0" w:color="auto"/>
        <w:bottom w:val="none" w:sz="0" w:space="0" w:color="auto"/>
        <w:right w:val="none" w:sz="0" w:space="0" w:color="auto"/>
      </w:divBdr>
    </w:div>
    <w:div w:id="170144668">
      <w:bodyDiv w:val="1"/>
      <w:marLeft w:val="0"/>
      <w:marRight w:val="0"/>
      <w:marTop w:val="0"/>
      <w:marBottom w:val="0"/>
      <w:divBdr>
        <w:top w:val="none" w:sz="0" w:space="0" w:color="auto"/>
        <w:left w:val="none" w:sz="0" w:space="0" w:color="auto"/>
        <w:bottom w:val="none" w:sz="0" w:space="0" w:color="auto"/>
        <w:right w:val="none" w:sz="0" w:space="0" w:color="auto"/>
      </w:divBdr>
    </w:div>
    <w:div w:id="268857776">
      <w:bodyDiv w:val="1"/>
      <w:marLeft w:val="0"/>
      <w:marRight w:val="0"/>
      <w:marTop w:val="0"/>
      <w:marBottom w:val="0"/>
      <w:divBdr>
        <w:top w:val="none" w:sz="0" w:space="0" w:color="auto"/>
        <w:left w:val="none" w:sz="0" w:space="0" w:color="auto"/>
        <w:bottom w:val="none" w:sz="0" w:space="0" w:color="auto"/>
        <w:right w:val="none" w:sz="0" w:space="0" w:color="auto"/>
      </w:divBdr>
    </w:div>
    <w:div w:id="290526261">
      <w:bodyDiv w:val="1"/>
      <w:marLeft w:val="0"/>
      <w:marRight w:val="0"/>
      <w:marTop w:val="0"/>
      <w:marBottom w:val="0"/>
      <w:divBdr>
        <w:top w:val="none" w:sz="0" w:space="0" w:color="auto"/>
        <w:left w:val="none" w:sz="0" w:space="0" w:color="auto"/>
        <w:bottom w:val="none" w:sz="0" w:space="0" w:color="auto"/>
        <w:right w:val="none" w:sz="0" w:space="0" w:color="auto"/>
      </w:divBdr>
    </w:div>
    <w:div w:id="306476395">
      <w:bodyDiv w:val="1"/>
      <w:marLeft w:val="0"/>
      <w:marRight w:val="0"/>
      <w:marTop w:val="0"/>
      <w:marBottom w:val="0"/>
      <w:divBdr>
        <w:top w:val="none" w:sz="0" w:space="0" w:color="auto"/>
        <w:left w:val="none" w:sz="0" w:space="0" w:color="auto"/>
        <w:bottom w:val="none" w:sz="0" w:space="0" w:color="auto"/>
        <w:right w:val="none" w:sz="0" w:space="0" w:color="auto"/>
      </w:divBdr>
    </w:div>
    <w:div w:id="307780765">
      <w:bodyDiv w:val="1"/>
      <w:marLeft w:val="0"/>
      <w:marRight w:val="0"/>
      <w:marTop w:val="0"/>
      <w:marBottom w:val="0"/>
      <w:divBdr>
        <w:top w:val="none" w:sz="0" w:space="0" w:color="auto"/>
        <w:left w:val="none" w:sz="0" w:space="0" w:color="auto"/>
        <w:bottom w:val="none" w:sz="0" w:space="0" w:color="auto"/>
        <w:right w:val="none" w:sz="0" w:space="0" w:color="auto"/>
      </w:divBdr>
    </w:div>
    <w:div w:id="310254361">
      <w:bodyDiv w:val="1"/>
      <w:marLeft w:val="0"/>
      <w:marRight w:val="0"/>
      <w:marTop w:val="0"/>
      <w:marBottom w:val="0"/>
      <w:divBdr>
        <w:top w:val="none" w:sz="0" w:space="0" w:color="auto"/>
        <w:left w:val="none" w:sz="0" w:space="0" w:color="auto"/>
        <w:bottom w:val="none" w:sz="0" w:space="0" w:color="auto"/>
        <w:right w:val="none" w:sz="0" w:space="0" w:color="auto"/>
      </w:divBdr>
    </w:div>
    <w:div w:id="386152191">
      <w:bodyDiv w:val="1"/>
      <w:marLeft w:val="0"/>
      <w:marRight w:val="0"/>
      <w:marTop w:val="0"/>
      <w:marBottom w:val="0"/>
      <w:divBdr>
        <w:top w:val="none" w:sz="0" w:space="0" w:color="auto"/>
        <w:left w:val="none" w:sz="0" w:space="0" w:color="auto"/>
        <w:bottom w:val="none" w:sz="0" w:space="0" w:color="auto"/>
        <w:right w:val="none" w:sz="0" w:space="0" w:color="auto"/>
      </w:divBdr>
    </w:div>
    <w:div w:id="390543624">
      <w:bodyDiv w:val="1"/>
      <w:marLeft w:val="0"/>
      <w:marRight w:val="0"/>
      <w:marTop w:val="0"/>
      <w:marBottom w:val="0"/>
      <w:divBdr>
        <w:top w:val="none" w:sz="0" w:space="0" w:color="auto"/>
        <w:left w:val="none" w:sz="0" w:space="0" w:color="auto"/>
        <w:bottom w:val="none" w:sz="0" w:space="0" w:color="auto"/>
        <w:right w:val="none" w:sz="0" w:space="0" w:color="auto"/>
      </w:divBdr>
    </w:div>
    <w:div w:id="401954004">
      <w:bodyDiv w:val="1"/>
      <w:marLeft w:val="0"/>
      <w:marRight w:val="0"/>
      <w:marTop w:val="0"/>
      <w:marBottom w:val="0"/>
      <w:divBdr>
        <w:top w:val="none" w:sz="0" w:space="0" w:color="auto"/>
        <w:left w:val="none" w:sz="0" w:space="0" w:color="auto"/>
        <w:bottom w:val="none" w:sz="0" w:space="0" w:color="auto"/>
        <w:right w:val="none" w:sz="0" w:space="0" w:color="auto"/>
      </w:divBdr>
    </w:div>
    <w:div w:id="448162249">
      <w:bodyDiv w:val="1"/>
      <w:marLeft w:val="0"/>
      <w:marRight w:val="0"/>
      <w:marTop w:val="0"/>
      <w:marBottom w:val="0"/>
      <w:divBdr>
        <w:top w:val="none" w:sz="0" w:space="0" w:color="auto"/>
        <w:left w:val="none" w:sz="0" w:space="0" w:color="auto"/>
        <w:bottom w:val="none" w:sz="0" w:space="0" w:color="auto"/>
        <w:right w:val="none" w:sz="0" w:space="0" w:color="auto"/>
      </w:divBdr>
    </w:div>
    <w:div w:id="483618564">
      <w:bodyDiv w:val="1"/>
      <w:marLeft w:val="0"/>
      <w:marRight w:val="0"/>
      <w:marTop w:val="0"/>
      <w:marBottom w:val="0"/>
      <w:divBdr>
        <w:top w:val="none" w:sz="0" w:space="0" w:color="auto"/>
        <w:left w:val="none" w:sz="0" w:space="0" w:color="auto"/>
        <w:bottom w:val="none" w:sz="0" w:space="0" w:color="auto"/>
        <w:right w:val="none" w:sz="0" w:space="0" w:color="auto"/>
      </w:divBdr>
    </w:div>
    <w:div w:id="507912591">
      <w:bodyDiv w:val="1"/>
      <w:marLeft w:val="0"/>
      <w:marRight w:val="0"/>
      <w:marTop w:val="0"/>
      <w:marBottom w:val="0"/>
      <w:divBdr>
        <w:top w:val="none" w:sz="0" w:space="0" w:color="auto"/>
        <w:left w:val="none" w:sz="0" w:space="0" w:color="auto"/>
        <w:bottom w:val="none" w:sz="0" w:space="0" w:color="auto"/>
        <w:right w:val="none" w:sz="0" w:space="0" w:color="auto"/>
      </w:divBdr>
    </w:div>
    <w:div w:id="524176863">
      <w:bodyDiv w:val="1"/>
      <w:marLeft w:val="0"/>
      <w:marRight w:val="0"/>
      <w:marTop w:val="0"/>
      <w:marBottom w:val="0"/>
      <w:divBdr>
        <w:top w:val="none" w:sz="0" w:space="0" w:color="auto"/>
        <w:left w:val="none" w:sz="0" w:space="0" w:color="auto"/>
        <w:bottom w:val="none" w:sz="0" w:space="0" w:color="auto"/>
        <w:right w:val="none" w:sz="0" w:space="0" w:color="auto"/>
      </w:divBdr>
    </w:div>
    <w:div w:id="618922784">
      <w:bodyDiv w:val="1"/>
      <w:marLeft w:val="0"/>
      <w:marRight w:val="0"/>
      <w:marTop w:val="0"/>
      <w:marBottom w:val="0"/>
      <w:divBdr>
        <w:top w:val="none" w:sz="0" w:space="0" w:color="auto"/>
        <w:left w:val="none" w:sz="0" w:space="0" w:color="auto"/>
        <w:bottom w:val="none" w:sz="0" w:space="0" w:color="auto"/>
        <w:right w:val="none" w:sz="0" w:space="0" w:color="auto"/>
      </w:divBdr>
    </w:div>
    <w:div w:id="654115881">
      <w:bodyDiv w:val="1"/>
      <w:marLeft w:val="0"/>
      <w:marRight w:val="0"/>
      <w:marTop w:val="0"/>
      <w:marBottom w:val="0"/>
      <w:divBdr>
        <w:top w:val="none" w:sz="0" w:space="0" w:color="auto"/>
        <w:left w:val="none" w:sz="0" w:space="0" w:color="auto"/>
        <w:bottom w:val="none" w:sz="0" w:space="0" w:color="auto"/>
        <w:right w:val="none" w:sz="0" w:space="0" w:color="auto"/>
      </w:divBdr>
    </w:div>
    <w:div w:id="666250025">
      <w:bodyDiv w:val="1"/>
      <w:marLeft w:val="0"/>
      <w:marRight w:val="0"/>
      <w:marTop w:val="0"/>
      <w:marBottom w:val="0"/>
      <w:divBdr>
        <w:top w:val="none" w:sz="0" w:space="0" w:color="auto"/>
        <w:left w:val="none" w:sz="0" w:space="0" w:color="auto"/>
        <w:bottom w:val="none" w:sz="0" w:space="0" w:color="auto"/>
        <w:right w:val="none" w:sz="0" w:space="0" w:color="auto"/>
      </w:divBdr>
    </w:div>
    <w:div w:id="705133968">
      <w:bodyDiv w:val="1"/>
      <w:marLeft w:val="0"/>
      <w:marRight w:val="0"/>
      <w:marTop w:val="0"/>
      <w:marBottom w:val="0"/>
      <w:divBdr>
        <w:top w:val="none" w:sz="0" w:space="0" w:color="auto"/>
        <w:left w:val="none" w:sz="0" w:space="0" w:color="auto"/>
        <w:bottom w:val="none" w:sz="0" w:space="0" w:color="auto"/>
        <w:right w:val="none" w:sz="0" w:space="0" w:color="auto"/>
      </w:divBdr>
    </w:div>
    <w:div w:id="731659274">
      <w:bodyDiv w:val="1"/>
      <w:marLeft w:val="0"/>
      <w:marRight w:val="0"/>
      <w:marTop w:val="0"/>
      <w:marBottom w:val="0"/>
      <w:divBdr>
        <w:top w:val="none" w:sz="0" w:space="0" w:color="auto"/>
        <w:left w:val="none" w:sz="0" w:space="0" w:color="auto"/>
        <w:bottom w:val="none" w:sz="0" w:space="0" w:color="auto"/>
        <w:right w:val="none" w:sz="0" w:space="0" w:color="auto"/>
      </w:divBdr>
    </w:div>
    <w:div w:id="743258385">
      <w:bodyDiv w:val="1"/>
      <w:marLeft w:val="0"/>
      <w:marRight w:val="0"/>
      <w:marTop w:val="0"/>
      <w:marBottom w:val="0"/>
      <w:divBdr>
        <w:top w:val="none" w:sz="0" w:space="0" w:color="auto"/>
        <w:left w:val="none" w:sz="0" w:space="0" w:color="auto"/>
        <w:bottom w:val="none" w:sz="0" w:space="0" w:color="auto"/>
        <w:right w:val="none" w:sz="0" w:space="0" w:color="auto"/>
      </w:divBdr>
    </w:div>
    <w:div w:id="783160460">
      <w:bodyDiv w:val="1"/>
      <w:marLeft w:val="45"/>
      <w:marRight w:val="45"/>
      <w:marTop w:val="45"/>
      <w:marBottom w:val="45"/>
      <w:divBdr>
        <w:top w:val="none" w:sz="0" w:space="0" w:color="auto"/>
        <w:left w:val="none" w:sz="0" w:space="0" w:color="auto"/>
        <w:bottom w:val="none" w:sz="0" w:space="0" w:color="auto"/>
        <w:right w:val="none" w:sz="0" w:space="0" w:color="auto"/>
      </w:divBdr>
      <w:divsChild>
        <w:div w:id="877279287">
          <w:marLeft w:val="0"/>
          <w:marRight w:val="0"/>
          <w:marTop w:val="0"/>
          <w:marBottom w:val="75"/>
          <w:divBdr>
            <w:top w:val="none" w:sz="0" w:space="0" w:color="auto"/>
            <w:left w:val="none" w:sz="0" w:space="0" w:color="auto"/>
            <w:bottom w:val="none" w:sz="0" w:space="0" w:color="auto"/>
            <w:right w:val="none" w:sz="0" w:space="0" w:color="auto"/>
          </w:divBdr>
          <w:divsChild>
            <w:div w:id="2032611980">
              <w:marLeft w:val="0"/>
              <w:marRight w:val="0"/>
              <w:marTop w:val="0"/>
              <w:marBottom w:val="0"/>
              <w:divBdr>
                <w:top w:val="none" w:sz="0" w:space="0" w:color="auto"/>
                <w:left w:val="none" w:sz="0" w:space="0" w:color="auto"/>
                <w:bottom w:val="none" w:sz="0" w:space="0" w:color="auto"/>
                <w:right w:val="none" w:sz="0" w:space="0" w:color="auto"/>
              </w:divBdr>
            </w:div>
            <w:div w:id="796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
    <w:div w:id="847408284">
      <w:bodyDiv w:val="1"/>
      <w:marLeft w:val="0"/>
      <w:marRight w:val="0"/>
      <w:marTop w:val="0"/>
      <w:marBottom w:val="0"/>
      <w:divBdr>
        <w:top w:val="none" w:sz="0" w:space="0" w:color="auto"/>
        <w:left w:val="none" w:sz="0" w:space="0" w:color="auto"/>
        <w:bottom w:val="none" w:sz="0" w:space="0" w:color="auto"/>
        <w:right w:val="none" w:sz="0" w:space="0" w:color="auto"/>
      </w:divBdr>
    </w:div>
    <w:div w:id="850215707">
      <w:bodyDiv w:val="1"/>
      <w:marLeft w:val="0"/>
      <w:marRight w:val="0"/>
      <w:marTop w:val="0"/>
      <w:marBottom w:val="0"/>
      <w:divBdr>
        <w:top w:val="none" w:sz="0" w:space="0" w:color="auto"/>
        <w:left w:val="none" w:sz="0" w:space="0" w:color="auto"/>
        <w:bottom w:val="none" w:sz="0" w:space="0" w:color="auto"/>
        <w:right w:val="none" w:sz="0" w:space="0" w:color="auto"/>
      </w:divBdr>
    </w:div>
    <w:div w:id="922491330">
      <w:bodyDiv w:val="1"/>
      <w:marLeft w:val="0"/>
      <w:marRight w:val="0"/>
      <w:marTop w:val="0"/>
      <w:marBottom w:val="0"/>
      <w:divBdr>
        <w:top w:val="none" w:sz="0" w:space="0" w:color="auto"/>
        <w:left w:val="none" w:sz="0" w:space="0" w:color="auto"/>
        <w:bottom w:val="none" w:sz="0" w:space="0" w:color="auto"/>
        <w:right w:val="none" w:sz="0" w:space="0" w:color="auto"/>
      </w:divBdr>
    </w:div>
    <w:div w:id="948002330">
      <w:bodyDiv w:val="1"/>
      <w:marLeft w:val="0"/>
      <w:marRight w:val="0"/>
      <w:marTop w:val="0"/>
      <w:marBottom w:val="0"/>
      <w:divBdr>
        <w:top w:val="none" w:sz="0" w:space="0" w:color="auto"/>
        <w:left w:val="none" w:sz="0" w:space="0" w:color="auto"/>
        <w:bottom w:val="none" w:sz="0" w:space="0" w:color="auto"/>
        <w:right w:val="none" w:sz="0" w:space="0" w:color="auto"/>
      </w:divBdr>
    </w:div>
    <w:div w:id="959604493">
      <w:bodyDiv w:val="1"/>
      <w:marLeft w:val="0"/>
      <w:marRight w:val="0"/>
      <w:marTop w:val="0"/>
      <w:marBottom w:val="0"/>
      <w:divBdr>
        <w:top w:val="none" w:sz="0" w:space="0" w:color="auto"/>
        <w:left w:val="none" w:sz="0" w:space="0" w:color="auto"/>
        <w:bottom w:val="none" w:sz="0" w:space="0" w:color="auto"/>
        <w:right w:val="none" w:sz="0" w:space="0" w:color="auto"/>
      </w:divBdr>
    </w:div>
    <w:div w:id="1000087405">
      <w:bodyDiv w:val="1"/>
      <w:marLeft w:val="0"/>
      <w:marRight w:val="0"/>
      <w:marTop w:val="0"/>
      <w:marBottom w:val="0"/>
      <w:divBdr>
        <w:top w:val="none" w:sz="0" w:space="0" w:color="auto"/>
        <w:left w:val="none" w:sz="0" w:space="0" w:color="auto"/>
        <w:bottom w:val="none" w:sz="0" w:space="0" w:color="auto"/>
        <w:right w:val="none" w:sz="0" w:space="0" w:color="auto"/>
      </w:divBdr>
    </w:div>
    <w:div w:id="1020858683">
      <w:bodyDiv w:val="1"/>
      <w:marLeft w:val="0"/>
      <w:marRight w:val="0"/>
      <w:marTop w:val="0"/>
      <w:marBottom w:val="0"/>
      <w:divBdr>
        <w:top w:val="none" w:sz="0" w:space="0" w:color="auto"/>
        <w:left w:val="none" w:sz="0" w:space="0" w:color="auto"/>
        <w:bottom w:val="none" w:sz="0" w:space="0" w:color="auto"/>
        <w:right w:val="none" w:sz="0" w:space="0" w:color="auto"/>
      </w:divBdr>
    </w:div>
    <w:div w:id="1056587656">
      <w:bodyDiv w:val="1"/>
      <w:marLeft w:val="0"/>
      <w:marRight w:val="0"/>
      <w:marTop w:val="0"/>
      <w:marBottom w:val="0"/>
      <w:divBdr>
        <w:top w:val="none" w:sz="0" w:space="0" w:color="auto"/>
        <w:left w:val="none" w:sz="0" w:space="0" w:color="auto"/>
        <w:bottom w:val="none" w:sz="0" w:space="0" w:color="auto"/>
        <w:right w:val="none" w:sz="0" w:space="0" w:color="auto"/>
      </w:divBdr>
    </w:div>
    <w:div w:id="1086654874">
      <w:bodyDiv w:val="1"/>
      <w:marLeft w:val="0"/>
      <w:marRight w:val="0"/>
      <w:marTop w:val="0"/>
      <w:marBottom w:val="0"/>
      <w:divBdr>
        <w:top w:val="none" w:sz="0" w:space="0" w:color="auto"/>
        <w:left w:val="none" w:sz="0" w:space="0" w:color="auto"/>
        <w:bottom w:val="none" w:sz="0" w:space="0" w:color="auto"/>
        <w:right w:val="none" w:sz="0" w:space="0" w:color="auto"/>
      </w:divBdr>
    </w:div>
    <w:div w:id="1186209907">
      <w:bodyDiv w:val="1"/>
      <w:marLeft w:val="0"/>
      <w:marRight w:val="0"/>
      <w:marTop w:val="0"/>
      <w:marBottom w:val="0"/>
      <w:divBdr>
        <w:top w:val="none" w:sz="0" w:space="0" w:color="auto"/>
        <w:left w:val="none" w:sz="0" w:space="0" w:color="auto"/>
        <w:bottom w:val="none" w:sz="0" w:space="0" w:color="auto"/>
        <w:right w:val="none" w:sz="0" w:space="0" w:color="auto"/>
      </w:divBdr>
    </w:div>
    <w:div w:id="1249584660">
      <w:bodyDiv w:val="1"/>
      <w:marLeft w:val="0"/>
      <w:marRight w:val="0"/>
      <w:marTop w:val="0"/>
      <w:marBottom w:val="0"/>
      <w:divBdr>
        <w:top w:val="none" w:sz="0" w:space="0" w:color="auto"/>
        <w:left w:val="none" w:sz="0" w:space="0" w:color="auto"/>
        <w:bottom w:val="none" w:sz="0" w:space="0" w:color="auto"/>
        <w:right w:val="none" w:sz="0" w:space="0" w:color="auto"/>
      </w:divBdr>
    </w:div>
    <w:div w:id="1333534526">
      <w:bodyDiv w:val="1"/>
      <w:marLeft w:val="0"/>
      <w:marRight w:val="0"/>
      <w:marTop w:val="0"/>
      <w:marBottom w:val="0"/>
      <w:divBdr>
        <w:top w:val="none" w:sz="0" w:space="0" w:color="auto"/>
        <w:left w:val="none" w:sz="0" w:space="0" w:color="auto"/>
        <w:bottom w:val="none" w:sz="0" w:space="0" w:color="auto"/>
        <w:right w:val="none" w:sz="0" w:space="0" w:color="auto"/>
      </w:divBdr>
    </w:div>
    <w:div w:id="1389691817">
      <w:bodyDiv w:val="1"/>
      <w:marLeft w:val="0"/>
      <w:marRight w:val="0"/>
      <w:marTop w:val="0"/>
      <w:marBottom w:val="0"/>
      <w:divBdr>
        <w:top w:val="none" w:sz="0" w:space="0" w:color="auto"/>
        <w:left w:val="none" w:sz="0" w:space="0" w:color="auto"/>
        <w:bottom w:val="none" w:sz="0" w:space="0" w:color="auto"/>
        <w:right w:val="none" w:sz="0" w:space="0" w:color="auto"/>
      </w:divBdr>
    </w:div>
    <w:div w:id="1390036118">
      <w:bodyDiv w:val="1"/>
      <w:marLeft w:val="0"/>
      <w:marRight w:val="0"/>
      <w:marTop w:val="0"/>
      <w:marBottom w:val="0"/>
      <w:divBdr>
        <w:top w:val="none" w:sz="0" w:space="0" w:color="auto"/>
        <w:left w:val="none" w:sz="0" w:space="0" w:color="auto"/>
        <w:bottom w:val="none" w:sz="0" w:space="0" w:color="auto"/>
        <w:right w:val="none" w:sz="0" w:space="0" w:color="auto"/>
      </w:divBdr>
    </w:div>
    <w:div w:id="1393624535">
      <w:bodyDiv w:val="1"/>
      <w:marLeft w:val="0"/>
      <w:marRight w:val="0"/>
      <w:marTop w:val="0"/>
      <w:marBottom w:val="0"/>
      <w:divBdr>
        <w:top w:val="none" w:sz="0" w:space="0" w:color="auto"/>
        <w:left w:val="none" w:sz="0" w:space="0" w:color="auto"/>
        <w:bottom w:val="none" w:sz="0" w:space="0" w:color="auto"/>
        <w:right w:val="none" w:sz="0" w:space="0" w:color="auto"/>
      </w:divBdr>
    </w:div>
    <w:div w:id="1417902224">
      <w:bodyDiv w:val="1"/>
      <w:marLeft w:val="0"/>
      <w:marRight w:val="0"/>
      <w:marTop w:val="0"/>
      <w:marBottom w:val="0"/>
      <w:divBdr>
        <w:top w:val="none" w:sz="0" w:space="0" w:color="auto"/>
        <w:left w:val="none" w:sz="0" w:space="0" w:color="auto"/>
        <w:bottom w:val="none" w:sz="0" w:space="0" w:color="auto"/>
        <w:right w:val="none" w:sz="0" w:space="0" w:color="auto"/>
      </w:divBdr>
    </w:div>
    <w:div w:id="1570923973">
      <w:bodyDiv w:val="1"/>
      <w:marLeft w:val="0"/>
      <w:marRight w:val="0"/>
      <w:marTop w:val="0"/>
      <w:marBottom w:val="0"/>
      <w:divBdr>
        <w:top w:val="none" w:sz="0" w:space="0" w:color="auto"/>
        <w:left w:val="none" w:sz="0" w:space="0" w:color="auto"/>
        <w:bottom w:val="none" w:sz="0" w:space="0" w:color="auto"/>
        <w:right w:val="none" w:sz="0" w:space="0" w:color="auto"/>
      </w:divBdr>
    </w:div>
    <w:div w:id="1594435127">
      <w:bodyDiv w:val="1"/>
      <w:marLeft w:val="0"/>
      <w:marRight w:val="0"/>
      <w:marTop w:val="0"/>
      <w:marBottom w:val="0"/>
      <w:divBdr>
        <w:top w:val="none" w:sz="0" w:space="0" w:color="auto"/>
        <w:left w:val="none" w:sz="0" w:space="0" w:color="auto"/>
        <w:bottom w:val="none" w:sz="0" w:space="0" w:color="auto"/>
        <w:right w:val="none" w:sz="0" w:space="0" w:color="auto"/>
      </w:divBdr>
    </w:div>
    <w:div w:id="1739086847">
      <w:bodyDiv w:val="1"/>
      <w:marLeft w:val="0"/>
      <w:marRight w:val="0"/>
      <w:marTop w:val="0"/>
      <w:marBottom w:val="0"/>
      <w:divBdr>
        <w:top w:val="none" w:sz="0" w:space="0" w:color="auto"/>
        <w:left w:val="none" w:sz="0" w:space="0" w:color="auto"/>
        <w:bottom w:val="none" w:sz="0" w:space="0" w:color="auto"/>
        <w:right w:val="none" w:sz="0" w:space="0" w:color="auto"/>
      </w:divBdr>
    </w:div>
    <w:div w:id="1803762684">
      <w:bodyDiv w:val="1"/>
      <w:marLeft w:val="0"/>
      <w:marRight w:val="0"/>
      <w:marTop w:val="0"/>
      <w:marBottom w:val="0"/>
      <w:divBdr>
        <w:top w:val="none" w:sz="0" w:space="0" w:color="auto"/>
        <w:left w:val="none" w:sz="0" w:space="0" w:color="auto"/>
        <w:bottom w:val="none" w:sz="0" w:space="0" w:color="auto"/>
        <w:right w:val="none" w:sz="0" w:space="0" w:color="auto"/>
      </w:divBdr>
      <w:divsChild>
        <w:div w:id="1607611785">
          <w:marLeft w:val="0"/>
          <w:marRight w:val="0"/>
          <w:marTop w:val="0"/>
          <w:marBottom w:val="0"/>
          <w:divBdr>
            <w:top w:val="none" w:sz="0" w:space="0" w:color="auto"/>
            <w:left w:val="none" w:sz="0" w:space="0" w:color="auto"/>
            <w:bottom w:val="none" w:sz="0" w:space="0" w:color="auto"/>
            <w:right w:val="none" w:sz="0" w:space="0" w:color="auto"/>
          </w:divBdr>
        </w:div>
      </w:divsChild>
    </w:div>
    <w:div w:id="1907760273">
      <w:bodyDiv w:val="1"/>
      <w:marLeft w:val="0"/>
      <w:marRight w:val="0"/>
      <w:marTop w:val="0"/>
      <w:marBottom w:val="0"/>
      <w:divBdr>
        <w:top w:val="none" w:sz="0" w:space="0" w:color="auto"/>
        <w:left w:val="none" w:sz="0" w:space="0" w:color="auto"/>
        <w:bottom w:val="none" w:sz="0" w:space="0" w:color="auto"/>
        <w:right w:val="none" w:sz="0" w:space="0" w:color="auto"/>
      </w:divBdr>
    </w:div>
    <w:div w:id="1919513999">
      <w:bodyDiv w:val="1"/>
      <w:marLeft w:val="0"/>
      <w:marRight w:val="0"/>
      <w:marTop w:val="0"/>
      <w:marBottom w:val="0"/>
      <w:divBdr>
        <w:top w:val="none" w:sz="0" w:space="0" w:color="auto"/>
        <w:left w:val="none" w:sz="0" w:space="0" w:color="auto"/>
        <w:bottom w:val="none" w:sz="0" w:space="0" w:color="auto"/>
        <w:right w:val="none" w:sz="0" w:space="0" w:color="auto"/>
      </w:divBdr>
    </w:div>
    <w:div w:id="1924214356">
      <w:bodyDiv w:val="1"/>
      <w:marLeft w:val="0"/>
      <w:marRight w:val="0"/>
      <w:marTop w:val="0"/>
      <w:marBottom w:val="0"/>
      <w:divBdr>
        <w:top w:val="none" w:sz="0" w:space="0" w:color="auto"/>
        <w:left w:val="none" w:sz="0" w:space="0" w:color="auto"/>
        <w:bottom w:val="none" w:sz="0" w:space="0" w:color="auto"/>
        <w:right w:val="none" w:sz="0" w:space="0" w:color="auto"/>
      </w:divBdr>
    </w:div>
    <w:div w:id="1954821665">
      <w:bodyDiv w:val="1"/>
      <w:marLeft w:val="0"/>
      <w:marRight w:val="0"/>
      <w:marTop w:val="0"/>
      <w:marBottom w:val="0"/>
      <w:divBdr>
        <w:top w:val="none" w:sz="0" w:space="0" w:color="auto"/>
        <w:left w:val="none" w:sz="0" w:space="0" w:color="auto"/>
        <w:bottom w:val="none" w:sz="0" w:space="0" w:color="auto"/>
        <w:right w:val="none" w:sz="0" w:space="0" w:color="auto"/>
      </w:divBdr>
    </w:div>
    <w:div w:id="1984775687">
      <w:bodyDiv w:val="1"/>
      <w:marLeft w:val="0"/>
      <w:marRight w:val="0"/>
      <w:marTop w:val="0"/>
      <w:marBottom w:val="0"/>
      <w:divBdr>
        <w:top w:val="none" w:sz="0" w:space="0" w:color="auto"/>
        <w:left w:val="none" w:sz="0" w:space="0" w:color="auto"/>
        <w:bottom w:val="none" w:sz="0" w:space="0" w:color="auto"/>
        <w:right w:val="none" w:sz="0" w:space="0" w:color="auto"/>
      </w:divBdr>
    </w:div>
    <w:div w:id="1991325467">
      <w:bodyDiv w:val="1"/>
      <w:marLeft w:val="0"/>
      <w:marRight w:val="0"/>
      <w:marTop w:val="0"/>
      <w:marBottom w:val="0"/>
      <w:divBdr>
        <w:top w:val="none" w:sz="0" w:space="0" w:color="auto"/>
        <w:left w:val="none" w:sz="0" w:space="0" w:color="auto"/>
        <w:bottom w:val="none" w:sz="0" w:space="0" w:color="auto"/>
        <w:right w:val="none" w:sz="0" w:space="0" w:color="auto"/>
      </w:divBdr>
    </w:div>
    <w:div w:id="2020505155">
      <w:bodyDiv w:val="1"/>
      <w:marLeft w:val="0"/>
      <w:marRight w:val="0"/>
      <w:marTop w:val="0"/>
      <w:marBottom w:val="0"/>
      <w:divBdr>
        <w:top w:val="none" w:sz="0" w:space="0" w:color="auto"/>
        <w:left w:val="none" w:sz="0" w:space="0" w:color="auto"/>
        <w:bottom w:val="none" w:sz="0" w:space="0" w:color="auto"/>
        <w:right w:val="none" w:sz="0" w:space="0" w:color="auto"/>
      </w:divBdr>
    </w:div>
    <w:div w:id="2021589361">
      <w:bodyDiv w:val="1"/>
      <w:marLeft w:val="0"/>
      <w:marRight w:val="0"/>
      <w:marTop w:val="0"/>
      <w:marBottom w:val="0"/>
      <w:divBdr>
        <w:top w:val="none" w:sz="0" w:space="0" w:color="auto"/>
        <w:left w:val="none" w:sz="0" w:space="0" w:color="auto"/>
        <w:bottom w:val="none" w:sz="0" w:space="0" w:color="auto"/>
        <w:right w:val="none" w:sz="0" w:space="0" w:color="auto"/>
      </w:divBdr>
    </w:div>
    <w:div w:id="2097171585">
      <w:bodyDiv w:val="1"/>
      <w:marLeft w:val="0"/>
      <w:marRight w:val="0"/>
      <w:marTop w:val="0"/>
      <w:marBottom w:val="0"/>
      <w:divBdr>
        <w:top w:val="none" w:sz="0" w:space="0" w:color="auto"/>
        <w:left w:val="none" w:sz="0" w:space="0" w:color="auto"/>
        <w:bottom w:val="none" w:sz="0" w:space="0" w:color="auto"/>
        <w:right w:val="none" w:sz="0" w:space="0" w:color="auto"/>
      </w:divBdr>
    </w:div>
    <w:div w:id="2123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hyperlink" Target="https://cnac.ca/cscn/drafts.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nac.ca/NRUF/NRUF.ht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fortunebusinessinsights.com/industry-reports/internet-of-things-iot-market-100307" TargetMode="External"/><Relationship Id="rId13" Type="http://schemas.openxmlformats.org/officeDocument/2006/relationships/hyperlink" Target="https://cnac.ca/esrd_codes/esrd_codes.htm" TargetMode="External"/><Relationship Id="rId18" Type="http://schemas.openxmlformats.org/officeDocument/2006/relationships/hyperlink" Target="https://crtc.gc.ca/cisc/eng/cisf3fg.htm" TargetMode="External"/><Relationship Id="rId3" Type="http://schemas.openxmlformats.org/officeDocument/2006/relationships/hyperlink" Target="https://www.cnac.ca/canadian_dial_plan/Canadian_Numbering_and_Dialling_Plan.pdf" TargetMode="External"/><Relationship Id="rId21" Type="http://schemas.openxmlformats.org/officeDocument/2006/relationships/hyperlink" Target="https://www.orange-business.com/en/numbering-iot-sim-move-15-digits" TargetMode="External"/><Relationship Id="rId7" Type="http://schemas.openxmlformats.org/officeDocument/2006/relationships/hyperlink" Target="https://www.atis.org/committees-forums/inc/documents/" TargetMode="External"/><Relationship Id="rId12" Type="http://schemas.openxmlformats.org/officeDocument/2006/relationships/hyperlink" Target="https://crtc.gc.ca/cisc/eng/cisf3fg.htm" TargetMode="External"/><Relationship Id="rId17" Type="http://schemas.openxmlformats.org/officeDocument/2006/relationships/hyperlink" Target="https://cnac.ca/data/ServiceAccessCode_600.htm" TargetMode="External"/><Relationship Id="rId2" Type="http://schemas.openxmlformats.org/officeDocument/2006/relationships/hyperlink" Target="https://www.itu.int/rec/T-REC-E.164-201011-I/en" TargetMode="External"/><Relationship Id="rId16" Type="http://schemas.openxmlformats.org/officeDocument/2006/relationships/hyperlink" Target="https://cnac.ca/data/ServiceAccessCode_600.htm" TargetMode="External"/><Relationship Id="rId20" Type="http://schemas.openxmlformats.org/officeDocument/2006/relationships/hyperlink" Target="https://www.fcc.gov/wireline-competition/competition-policy-division/numbering-resources/north-american-numbering-council/nanc-working" TargetMode="External"/><Relationship Id="rId1" Type="http://schemas.openxmlformats.org/officeDocument/2006/relationships/hyperlink" Target="https://www.nationalnanpa.com/about_us/" TargetMode="External"/><Relationship Id="rId6" Type="http://schemas.openxmlformats.org/officeDocument/2006/relationships/hyperlink" Target="https://www.nationalnanpa.com/reports/October_2022_NANP_Exhaust_Analysis_Final.pdf" TargetMode="External"/><Relationship Id="rId11" Type="http://schemas.openxmlformats.org/officeDocument/2006/relationships/hyperlink" Target="https://crtc.gc.ca/cisc/eng/cisf3ft.htm" TargetMode="External"/><Relationship Id="rId24" Type="http://schemas.openxmlformats.org/officeDocument/2006/relationships/hyperlink" Target="https://cnac.ca/other_codes/600/600-nxx_codes.htm" TargetMode="External"/><Relationship Id="rId5" Type="http://schemas.openxmlformats.org/officeDocument/2006/relationships/hyperlink" Target="https://nationalnanpa.com/reports/2022_NANPA_Annual_Report.pdf" TargetMode="External"/><Relationship Id="rId15" Type="http://schemas.openxmlformats.org/officeDocument/2006/relationships/hyperlink" Target="https://crtc.gc.ca/cisc/eng/cisf3fg.htm" TargetMode="External"/><Relationship Id="rId23" Type="http://schemas.openxmlformats.org/officeDocument/2006/relationships/hyperlink" Target="https://www.cnac.ca/cnac/cna_consortium.htm" TargetMode="External"/><Relationship Id="rId10" Type="http://schemas.openxmlformats.org/officeDocument/2006/relationships/hyperlink" Target="https://www.cnac.ca/other_codes/nongeo/nongeo_codes.htm" TargetMode="External"/><Relationship Id="rId19" Type="http://schemas.openxmlformats.org/officeDocument/2006/relationships/hyperlink" Target="https://crtc.gc.ca/cisc/eng/cisf3fg.htm" TargetMode="External"/><Relationship Id="rId4" Type="http://schemas.openxmlformats.org/officeDocument/2006/relationships/hyperlink" Target="https://cnac.ca/NRUF/NRUF.htm" TargetMode="External"/><Relationship Id="rId9" Type="http://schemas.openxmlformats.org/officeDocument/2006/relationships/hyperlink" Target="https://crtc.gc.ca/eng/archive/2015/2015-4.htm" TargetMode="External"/><Relationship Id="rId14" Type="http://schemas.openxmlformats.org/officeDocument/2006/relationships/hyperlink" Target="https://crtc.gc.ca/cisc/eng/cisf3fg.htm" TargetMode="External"/><Relationship Id="rId22" Type="http://schemas.openxmlformats.org/officeDocument/2006/relationships/hyperlink" Target="https://www.orange-business.com/en/numbering-iot-sim-move-15-digi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erry.thompson\AppData\Local\Microsoft\Windows\INetCache\Content.Outlook\YSX05SLD\CNCO208A_Comparison_of_Non-Geographic_NRUF_from_January_2022_through_January_2023.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https://comsolveinccom.sharepoint.com/sites/CNAStaff/CNA%20Project%20Share/CSCN/CSCN%20TIFs%20-%20Issues/TIF%20112%20-%20Non-Geo/2023-12-01%20-%20contribution%20team%20meeting/CNCO2XXA_DRAFT_Non-Geo_NRUF_Comparisons_up_to_2023_Jul_with_pool_ceiling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gerry\Downloads\6YY%20NPA%20rollout%20scenarios%20%202023-12-0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Non-Geographic (6YY) Jan 2022 thru Jan 2023</a:t>
            </a:r>
            <a:endParaRPr lang="en-CA" baseline="0"/>
          </a:p>
          <a:p>
            <a:pPr>
              <a:defRPr/>
            </a:pPr>
            <a:r>
              <a:rPr lang="en-CA" baseline="0"/>
              <a:t>Forecast Comparison</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January 2022 NRUF</c:v>
          </c:tx>
          <c:spPr>
            <a:ln w="28575" cap="rnd">
              <a:solidFill>
                <a:srgbClr val="00B050"/>
              </a:solidFill>
              <a:round/>
            </a:ln>
            <a:effectLst/>
          </c:spPr>
          <c:marker>
            <c:symbol val="none"/>
          </c:marker>
          <c:dLbls>
            <c:dLbl>
              <c:idx val="0"/>
              <c:layout>
                <c:manualLayout>
                  <c:x val="-2.068464847837008E-2"/>
                  <c:y val="-5.911409102948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6F-4985-9DB4-D54B55BA718A}"/>
                </c:ext>
              </c:extLst>
            </c:dLbl>
            <c:dLbl>
              <c:idx val="1"/>
              <c:layout>
                <c:manualLayout>
                  <c:x val="-2.068464847837008E-2"/>
                  <c:y val="-2.3358246919767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6F-4985-9DB4-D54B55BA718A}"/>
                </c:ext>
              </c:extLst>
            </c:dLbl>
            <c:dLbl>
              <c:idx val="2"/>
              <c:layout>
                <c:manualLayout>
                  <c:x val="-2.068464847837008E-2"/>
                  <c:y val="-2.61086964666685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6F-4985-9DB4-D54B55BA718A}"/>
                </c:ext>
              </c:extLst>
            </c:dLbl>
            <c:dLbl>
              <c:idx val="3"/>
              <c:layout>
                <c:manualLayout>
                  <c:x val="-2.0684648478370114E-2"/>
                  <c:y val="1.5148046736851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6F-4985-9DB4-D54B55BA718A}"/>
                </c:ext>
              </c:extLst>
            </c:dLbl>
            <c:dLbl>
              <c:idx val="4"/>
              <c:layout>
                <c:manualLayout>
                  <c:x val="-2.0684648478370045E-2"/>
                  <c:y val="2.06489458306541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6F-4985-9DB4-D54B55BA718A}"/>
                </c:ext>
              </c:extLst>
            </c:dLbl>
            <c:dLbl>
              <c:idx val="5"/>
              <c:layout>
                <c:manualLayout>
                  <c:x val="-2.068464847837008E-2"/>
                  <c:y val="2.89002944713581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6F-4985-9DB4-D54B55BA71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B05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'Non-Geo Jan 2022 thru Jan 2023'!$B$12:$Y$12</c:f>
              <c:numCache>
                <c:formatCode>General</c:formatCode>
                <c:ptCount val="24"/>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numCache>
            </c:numRef>
          </c:cat>
          <c:val>
            <c:numRef>
              <c:f>'Non-Geo Jan 2022 thru Jan 2023'!$B$5:$U$5</c:f>
              <c:numCache>
                <c:formatCode>General</c:formatCode>
                <c:ptCount val="20"/>
                <c:pt idx="0">
                  <c:v>1</c:v>
                </c:pt>
                <c:pt idx="1">
                  <c:v>2</c:v>
                </c:pt>
                <c:pt idx="2">
                  <c:v>2</c:v>
                </c:pt>
                <c:pt idx="3">
                  <c:v>3</c:v>
                </c:pt>
                <c:pt idx="4">
                  <c:v>4</c:v>
                </c:pt>
                <c:pt idx="5">
                  <c:v>6</c:v>
                </c:pt>
                <c:pt idx="6">
                  <c:v>6</c:v>
                </c:pt>
                <c:pt idx="7">
                  <c:v>8</c:v>
                </c:pt>
                <c:pt idx="8">
                  <c:v>9</c:v>
                </c:pt>
                <c:pt idx="9">
                  <c:v>10</c:v>
                </c:pt>
                <c:pt idx="10">
                  <c:v>10</c:v>
                </c:pt>
                <c:pt idx="11">
                  <c:v>11</c:v>
                </c:pt>
                <c:pt idx="12">
                  <c:v>12</c:v>
                </c:pt>
                <c:pt idx="13">
                  <c:v>13</c:v>
                </c:pt>
                <c:pt idx="14">
                  <c:v>13</c:v>
                </c:pt>
                <c:pt idx="15">
                  <c:v>14</c:v>
                </c:pt>
                <c:pt idx="16">
                  <c:v>15</c:v>
                </c:pt>
                <c:pt idx="17">
                  <c:v>16</c:v>
                </c:pt>
                <c:pt idx="18">
                  <c:v>16</c:v>
                </c:pt>
                <c:pt idx="19">
                  <c:v>17</c:v>
                </c:pt>
              </c:numCache>
            </c:numRef>
          </c:val>
          <c:smooth val="0"/>
          <c:extLst>
            <c:ext xmlns:c16="http://schemas.microsoft.com/office/drawing/2014/chart" uri="{C3380CC4-5D6E-409C-BE32-E72D297353CC}">
              <c16:uniqueId val="{00000006-376F-4985-9DB4-D54B55BA718A}"/>
            </c:ext>
          </c:extLst>
        </c:ser>
        <c:ser>
          <c:idx val="1"/>
          <c:order val="1"/>
          <c:tx>
            <c:v>July 2022 NRUF</c:v>
          </c:tx>
          <c:spPr>
            <a:ln w="28575" cap="rnd">
              <a:solidFill>
                <a:srgbClr val="FF0000"/>
              </a:solidFill>
              <a:round/>
            </a:ln>
            <a:effectLst/>
          </c:spPr>
          <c:marker>
            <c:symbol val="none"/>
          </c:marker>
          <c:dLbls>
            <c:dLbl>
              <c:idx val="0"/>
              <c:layout>
                <c:manualLayout>
                  <c:x val="-1.8754216257662937E-2"/>
                  <c:y val="-0.1031212837799060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76F-4985-9DB4-D54B55BA718A}"/>
                </c:ext>
              </c:extLst>
            </c:dLbl>
            <c:dLbl>
              <c:idx val="1"/>
              <c:layout>
                <c:manualLayout>
                  <c:x val="-2.0671957212302975E-2"/>
                  <c:y val="-0.1168735315144126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76F-4985-9DB4-D54B55BA718A}"/>
                </c:ext>
              </c:extLst>
            </c:dLbl>
            <c:dLbl>
              <c:idx val="2"/>
              <c:layout>
                <c:manualLayout>
                  <c:x val="-2.0671899392508342E-2"/>
                  <c:y val="-7.56167883108926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76F-4985-9DB4-D54B55BA718A}"/>
                </c:ext>
              </c:extLst>
            </c:dLbl>
            <c:dLbl>
              <c:idx val="3"/>
              <c:layout>
                <c:manualLayout>
                  <c:x val="-2.0684648478370114E-2"/>
                  <c:y val="-5.91140910294846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76F-4985-9DB4-D54B55BA71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'Non-Geo Jan 2022 thru Jan 2023'!$B$12:$Y$12</c:f>
              <c:numCache>
                <c:formatCode>General</c:formatCode>
                <c:ptCount val="24"/>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numCache>
            </c:numRef>
          </c:cat>
          <c:val>
            <c:numRef>
              <c:f>'Non-Geo Jan 2022 thru Jan 2023'!$B$9:$X$9</c:f>
              <c:numCache>
                <c:formatCode>General</c:formatCode>
                <c:ptCount val="23"/>
                <c:pt idx="0">
                  <c:v>1</c:v>
                </c:pt>
                <c:pt idx="1">
                  <c:v>1</c:v>
                </c:pt>
                <c:pt idx="2">
                  <c:v>2</c:v>
                </c:pt>
                <c:pt idx="3">
                  <c:v>3</c:v>
                </c:pt>
                <c:pt idx="4">
                  <c:v>5</c:v>
                </c:pt>
                <c:pt idx="5">
                  <c:v>8</c:v>
                </c:pt>
                <c:pt idx="6">
                  <c:v>13</c:v>
                </c:pt>
                <c:pt idx="7">
                  <c:v>20</c:v>
                </c:pt>
                <c:pt idx="8">
                  <c:v>29</c:v>
                </c:pt>
                <c:pt idx="9">
                  <c:v>40</c:v>
                </c:pt>
                <c:pt idx="10">
                  <c:v>53</c:v>
                </c:pt>
                <c:pt idx="11">
                  <c:v>67</c:v>
                </c:pt>
                <c:pt idx="12">
                  <c:v>84</c:v>
                </c:pt>
                <c:pt idx="13">
                  <c:v>103</c:v>
                </c:pt>
                <c:pt idx="14">
                  <c:v>123</c:v>
                </c:pt>
                <c:pt idx="15">
                  <c:v>145</c:v>
                </c:pt>
                <c:pt idx="16">
                  <c:v>168</c:v>
                </c:pt>
                <c:pt idx="17">
                  <c:v>192</c:v>
                </c:pt>
                <c:pt idx="18">
                  <c:v>221</c:v>
                </c:pt>
                <c:pt idx="19">
                  <c:v>251</c:v>
                </c:pt>
                <c:pt idx="20">
                  <c:v>285</c:v>
                </c:pt>
                <c:pt idx="21">
                  <c:v>321</c:v>
                </c:pt>
                <c:pt idx="22">
                  <c:v>360</c:v>
                </c:pt>
              </c:numCache>
            </c:numRef>
          </c:val>
          <c:smooth val="0"/>
          <c:extLst>
            <c:ext xmlns:c16="http://schemas.microsoft.com/office/drawing/2014/chart" uri="{C3380CC4-5D6E-409C-BE32-E72D297353CC}">
              <c16:uniqueId val="{0000000B-376F-4985-9DB4-D54B55BA718A}"/>
            </c:ext>
          </c:extLst>
        </c:ser>
        <c:ser>
          <c:idx val="2"/>
          <c:order val="2"/>
          <c:tx>
            <c:v>January 2023 NRUF</c:v>
          </c:tx>
          <c:spPr>
            <a:ln w="28575" cap="rnd">
              <a:solidFill>
                <a:srgbClr val="7030A0"/>
              </a:solidFill>
              <a:round/>
            </a:ln>
            <a:effectLst/>
          </c:spPr>
          <c:marker>
            <c:symbol val="none"/>
          </c:marker>
          <c:dLbls>
            <c:dLbl>
              <c:idx val="0"/>
              <c:layout>
                <c:manualLayout>
                  <c:x val="-2.068464847837008E-2"/>
                  <c:y val="-2.61498449244567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76F-4985-9DB4-D54B55BA718A}"/>
                </c:ext>
              </c:extLst>
            </c:dLbl>
            <c:dLbl>
              <c:idx val="1"/>
              <c:layout>
                <c:manualLayout>
                  <c:x val="-2.068464847837008E-2"/>
                  <c:y val="-2.89002944713580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76F-4985-9DB4-D54B55BA718A}"/>
                </c:ext>
              </c:extLst>
            </c:dLbl>
            <c:dLbl>
              <c:idx val="2"/>
              <c:layout>
                <c:manualLayout>
                  <c:x val="-2.068464847837008E-2"/>
                  <c:y val="-2.89002944713580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76F-4985-9DB4-D54B55BA718A}"/>
                </c:ext>
              </c:extLst>
            </c:dLbl>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'Non-Geo Jan 2022 thru Jan 2023'!$B$12:$Y$12</c:f>
              <c:numCache>
                <c:formatCode>General</c:formatCode>
                <c:ptCount val="24"/>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numCache>
            </c:numRef>
          </c:cat>
          <c:val>
            <c:numRef>
              <c:f>'Non-Geo Jan 2022 thru Jan 2023'!$B$13:$Y$13</c:f>
              <c:numCache>
                <c:formatCode>General</c:formatCode>
                <c:ptCount val="24"/>
                <c:pt idx="0">
                  <c:v>1</c:v>
                </c:pt>
                <c:pt idx="1">
                  <c:v>1</c:v>
                </c:pt>
                <c:pt idx="2">
                  <c:v>1</c:v>
                </c:pt>
                <c:pt idx="3">
                  <c:v>2</c:v>
                </c:pt>
                <c:pt idx="4">
                  <c:v>2</c:v>
                </c:pt>
                <c:pt idx="5">
                  <c:v>3</c:v>
                </c:pt>
                <c:pt idx="6">
                  <c:v>4</c:v>
                </c:pt>
                <c:pt idx="7">
                  <c:v>4</c:v>
                </c:pt>
                <c:pt idx="8">
                  <c:v>5</c:v>
                </c:pt>
                <c:pt idx="9">
                  <c:v>6</c:v>
                </c:pt>
                <c:pt idx="10">
                  <c:v>7</c:v>
                </c:pt>
                <c:pt idx="11">
                  <c:v>8</c:v>
                </c:pt>
                <c:pt idx="12">
                  <c:v>9</c:v>
                </c:pt>
                <c:pt idx="13">
                  <c:v>10</c:v>
                </c:pt>
                <c:pt idx="14">
                  <c:v>12</c:v>
                </c:pt>
                <c:pt idx="15">
                  <c:v>13</c:v>
                </c:pt>
                <c:pt idx="16">
                  <c:v>14</c:v>
                </c:pt>
                <c:pt idx="17">
                  <c:v>15</c:v>
                </c:pt>
                <c:pt idx="18">
                  <c:v>17</c:v>
                </c:pt>
                <c:pt idx="19">
                  <c:v>18</c:v>
                </c:pt>
                <c:pt idx="20">
                  <c:v>19</c:v>
                </c:pt>
                <c:pt idx="21">
                  <c:v>21</c:v>
                </c:pt>
                <c:pt idx="22">
                  <c:v>22</c:v>
                </c:pt>
                <c:pt idx="23">
                  <c:v>24</c:v>
                </c:pt>
              </c:numCache>
            </c:numRef>
          </c:val>
          <c:smooth val="0"/>
          <c:extLst>
            <c:ext xmlns:c16="http://schemas.microsoft.com/office/drawing/2014/chart" uri="{C3380CC4-5D6E-409C-BE32-E72D297353CC}">
              <c16:uniqueId val="{0000000F-376F-4985-9DB4-D54B55BA718A}"/>
            </c:ext>
          </c:extLst>
        </c:ser>
        <c:dLbls>
          <c:showLegendKey val="0"/>
          <c:showVal val="0"/>
          <c:showCatName val="0"/>
          <c:showSerName val="0"/>
          <c:showPercent val="0"/>
          <c:showBubbleSize val="0"/>
        </c:dLbls>
        <c:smooth val="0"/>
        <c:axId val="1585538367"/>
        <c:axId val="1585538783"/>
      </c:lineChart>
      <c:catAx>
        <c:axId val="158553836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rgbClr val="00B050"/>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5538783"/>
        <c:crosses val="autoZero"/>
        <c:auto val="1"/>
        <c:lblAlgn val="ctr"/>
        <c:lblOffset val="100"/>
        <c:noMultiLvlLbl val="0"/>
      </c:catAx>
      <c:valAx>
        <c:axId val="1585538783"/>
        <c:scaling>
          <c:logBase val="10"/>
          <c:orientation val="minMax"/>
          <c:min val="1"/>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sz="1000" b="0" i="0" baseline="0">
                    <a:effectLst/>
                  </a:rPr>
                  <a:t>Forecasted NPAs Required</a:t>
                </a:r>
                <a:endParaRPr lang="en-CA" sz="1000">
                  <a:effectLst/>
                </a:endParaRPr>
              </a:p>
              <a:p>
                <a:pPr>
                  <a:defRPr/>
                </a:pPr>
                <a:r>
                  <a:rPr lang="en-CA" sz="1000" b="0" i="0" baseline="0">
                    <a:effectLst/>
                  </a:rPr>
                  <a:t>(logarithmic scale)</a:t>
                </a:r>
                <a:endParaRPr lang="en-CA"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in"/>
        <c:tickLblPos val="nextTo"/>
        <c:spPr>
          <a:noFill/>
          <a:ln>
            <a:solidFill>
              <a:srgbClr val="00B050">
                <a:alpha val="90000"/>
              </a:srgb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55383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99358563181527"/>
          <c:y val="0.10883376107458641"/>
          <c:w val="0.85857926628744841"/>
          <c:h val="0.66572765294249814"/>
        </c:manualLayout>
      </c:layout>
      <c:lineChart>
        <c:grouping val="standard"/>
        <c:varyColors val="0"/>
        <c:ser>
          <c:idx val="5"/>
          <c:order val="0"/>
          <c:tx>
            <c:v>January 2022 NRUF</c:v>
          </c:tx>
          <c:spPr>
            <a:ln>
              <a:solidFill>
                <a:srgbClr val="00B050"/>
              </a:solidFill>
            </a:ln>
          </c:spPr>
          <c:marker>
            <c:symbol val="none"/>
          </c:marker>
          <c:cat>
            <c:numRef>
              <c:f>'[CNCO2XXA_DRAFT_Non-Geo_NRUF_Comparisons_up_to_2023_Jul_with_pool_ceilings.xlsx]NRUFs and Graphs'!$B$12:$X$12</c:f>
              <c:numCache>
                <c:formatCode>General</c:formatCode>
                <c:ptCount val="23"/>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numCache>
            </c:numRef>
          </c:cat>
          <c:val>
            <c:numRef>
              <c:f>'[CNCO2XXA_DRAFT_Non-Geo_NRUF_Comparisons_up_to_2023_Jul_with_pool_ceilings.xlsx]NRUFs and Graphs'!$B$5:$U$5</c:f>
              <c:numCache>
                <c:formatCode>General</c:formatCode>
                <c:ptCount val="20"/>
                <c:pt idx="0">
                  <c:v>1</c:v>
                </c:pt>
                <c:pt idx="1">
                  <c:v>2</c:v>
                </c:pt>
                <c:pt idx="2">
                  <c:v>2</c:v>
                </c:pt>
                <c:pt idx="3">
                  <c:v>3</c:v>
                </c:pt>
                <c:pt idx="4">
                  <c:v>4</c:v>
                </c:pt>
                <c:pt idx="5">
                  <c:v>6</c:v>
                </c:pt>
                <c:pt idx="6">
                  <c:v>6</c:v>
                </c:pt>
                <c:pt idx="7">
                  <c:v>8</c:v>
                </c:pt>
                <c:pt idx="8">
                  <c:v>9</c:v>
                </c:pt>
                <c:pt idx="9">
                  <c:v>10</c:v>
                </c:pt>
                <c:pt idx="10">
                  <c:v>10</c:v>
                </c:pt>
                <c:pt idx="11">
                  <c:v>11</c:v>
                </c:pt>
                <c:pt idx="12">
                  <c:v>12</c:v>
                </c:pt>
                <c:pt idx="13">
                  <c:v>13</c:v>
                </c:pt>
                <c:pt idx="14">
                  <c:v>13</c:v>
                </c:pt>
                <c:pt idx="15">
                  <c:v>14</c:v>
                </c:pt>
                <c:pt idx="16">
                  <c:v>15</c:v>
                </c:pt>
                <c:pt idx="17">
                  <c:v>16</c:v>
                </c:pt>
                <c:pt idx="18">
                  <c:v>16</c:v>
                </c:pt>
                <c:pt idx="19">
                  <c:v>17</c:v>
                </c:pt>
              </c:numCache>
            </c:numRef>
          </c:val>
          <c:smooth val="0"/>
          <c:extLst>
            <c:ext xmlns:c16="http://schemas.microsoft.com/office/drawing/2014/chart" uri="{C3380CC4-5D6E-409C-BE32-E72D297353CC}">
              <c16:uniqueId val="{00000000-903D-4B2B-B0A5-2F904B4B569C}"/>
            </c:ext>
          </c:extLst>
        </c:ser>
        <c:ser>
          <c:idx val="6"/>
          <c:order val="1"/>
          <c:tx>
            <c:v>July 2022 NRUF</c:v>
          </c:tx>
          <c:spPr>
            <a:ln>
              <a:solidFill>
                <a:srgbClr val="FF0000"/>
              </a:solidFill>
            </a:ln>
          </c:spPr>
          <c:marker>
            <c:symbol val="none"/>
          </c:marker>
          <c:cat>
            <c:numRef>
              <c:f>'[CNCO2XXA_DRAFT_Non-Geo_NRUF_Comparisons_up_to_2023_Jul_with_pool_ceilings.xlsx]NRUFs and Graphs'!$B$12:$X$12</c:f>
              <c:numCache>
                <c:formatCode>General</c:formatCode>
                <c:ptCount val="23"/>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numCache>
            </c:numRef>
          </c:cat>
          <c:val>
            <c:numRef>
              <c:f>'[CNCO2XXA_DRAFT_Non-Geo_NRUF_Comparisons_up_to_2023_Jul_with_pool_ceilings.xlsx]NRUFs and Graphs'!$B$9:$X$9</c:f>
              <c:numCache>
                <c:formatCode>General</c:formatCode>
                <c:ptCount val="23"/>
                <c:pt idx="0">
                  <c:v>1</c:v>
                </c:pt>
                <c:pt idx="1">
                  <c:v>1</c:v>
                </c:pt>
                <c:pt idx="2">
                  <c:v>2</c:v>
                </c:pt>
                <c:pt idx="3">
                  <c:v>3</c:v>
                </c:pt>
                <c:pt idx="4">
                  <c:v>5</c:v>
                </c:pt>
                <c:pt idx="5">
                  <c:v>8</c:v>
                </c:pt>
                <c:pt idx="6">
                  <c:v>13</c:v>
                </c:pt>
                <c:pt idx="7">
                  <c:v>20</c:v>
                </c:pt>
                <c:pt idx="8">
                  <c:v>29</c:v>
                </c:pt>
                <c:pt idx="9">
                  <c:v>40</c:v>
                </c:pt>
                <c:pt idx="10">
                  <c:v>53</c:v>
                </c:pt>
                <c:pt idx="11">
                  <c:v>67</c:v>
                </c:pt>
                <c:pt idx="12">
                  <c:v>84</c:v>
                </c:pt>
                <c:pt idx="13">
                  <c:v>103</c:v>
                </c:pt>
                <c:pt idx="14">
                  <c:v>123</c:v>
                </c:pt>
                <c:pt idx="15">
                  <c:v>145</c:v>
                </c:pt>
                <c:pt idx="16">
                  <c:v>168</c:v>
                </c:pt>
                <c:pt idx="17">
                  <c:v>192</c:v>
                </c:pt>
                <c:pt idx="18">
                  <c:v>221</c:v>
                </c:pt>
                <c:pt idx="19">
                  <c:v>251</c:v>
                </c:pt>
                <c:pt idx="20">
                  <c:v>285</c:v>
                </c:pt>
                <c:pt idx="21">
                  <c:v>321</c:v>
                </c:pt>
                <c:pt idx="22">
                  <c:v>360</c:v>
                </c:pt>
              </c:numCache>
            </c:numRef>
          </c:val>
          <c:smooth val="0"/>
          <c:extLst>
            <c:ext xmlns:c16="http://schemas.microsoft.com/office/drawing/2014/chart" uri="{C3380CC4-5D6E-409C-BE32-E72D297353CC}">
              <c16:uniqueId val="{00000001-903D-4B2B-B0A5-2F904B4B569C}"/>
            </c:ext>
          </c:extLst>
        </c:ser>
        <c:ser>
          <c:idx val="7"/>
          <c:order val="2"/>
          <c:tx>
            <c:v>January 2023 NRUF</c:v>
          </c:tx>
          <c:spPr>
            <a:ln>
              <a:solidFill>
                <a:srgbClr val="7030A0"/>
              </a:solidFill>
            </a:ln>
          </c:spPr>
          <c:marker>
            <c:symbol val="none"/>
          </c:marker>
          <c:cat>
            <c:numRef>
              <c:f>'[CNCO2XXA_DRAFT_Non-Geo_NRUF_Comparisons_up_to_2023_Jul_with_pool_ceilings.xlsx]NRUFs and Graphs'!$B$12:$X$12</c:f>
              <c:numCache>
                <c:formatCode>General</c:formatCode>
                <c:ptCount val="23"/>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numCache>
            </c:numRef>
          </c:cat>
          <c:val>
            <c:numRef>
              <c:f>'[CNCO2XXA_DRAFT_Non-Geo_NRUF_Comparisons_up_to_2023_Jul_with_pool_ceilings.xlsx]NRUFs and Graphs'!$B$13:$X$13</c:f>
              <c:numCache>
                <c:formatCode>General</c:formatCode>
                <c:ptCount val="23"/>
                <c:pt idx="0">
                  <c:v>1</c:v>
                </c:pt>
                <c:pt idx="1">
                  <c:v>1</c:v>
                </c:pt>
                <c:pt idx="2">
                  <c:v>1</c:v>
                </c:pt>
                <c:pt idx="3">
                  <c:v>2</c:v>
                </c:pt>
                <c:pt idx="4">
                  <c:v>2</c:v>
                </c:pt>
                <c:pt idx="5">
                  <c:v>3</c:v>
                </c:pt>
                <c:pt idx="6">
                  <c:v>4</c:v>
                </c:pt>
                <c:pt idx="7">
                  <c:v>4</c:v>
                </c:pt>
                <c:pt idx="8">
                  <c:v>5</c:v>
                </c:pt>
                <c:pt idx="9">
                  <c:v>6</c:v>
                </c:pt>
                <c:pt idx="10">
                  <c:v>7</c:v>
                </c:pt>
                <c:pt idx="11">
                  <c:v>8</c:v>
                </c:pt>
                <c:pt idx="12">
                  <c:v>9</c:v>
                </c:pt>
                <c:pt idx="13">
                  <c:v>10</c:v>
                </c:pt>
                <c:pt idx="14">
                  <c:v>12</c:v>
                </c:pt>
                <c:pt idx="15">
                  <c:v>13</c:v>
                </c:pt>
                <c:pt idx="16">
                  <c:v>14</c:v>
                </c:pt>
                <c:pt idx="17">
                  <c:v>15</c:v>
                </c:pt>
                <c:pt idx="18">
                  <c:v>17</c:v>
                </c:pt>
                <c:pt idx="19">
                  <c:v>18</c:v>
                </c:pt>
                <c:pt idx="20">
                  <c:v>19</c:v>
                </c:pt>
                <c:pt idx="21">
                  <c:v>21</c:v>
                </c:pt>
                <c:pt idx="22">
                  <c:v>22</c:v>
                </c:pt>
              </c:numCache>
            </c:numRef>
          </c:val>
          <c:smooth val="0"/>
          <c:extLst>
            <c:ext xmlns:c16="http://schemas.microsoft.com/office/drawing/2014/chart" uri="{C3380CC4-5D6E-409C-BE32-E72D297353CC}">
              <c16:uniqueId val="{00000002-903D-4B2B-B0A5-2F904B4B569C}"/>
            </c:ext>
          </c:extLst>
        </c:ser>
        <c:ser>
          <c:idx val="8"/>
          <c:order val="3"/>
          <c:tx>
            <c:v>July 2023 NRUF</c:v>
          </c:tx>
          <c:spPr>
            <a:ln>
              <a:solidFill>
                <a:schemeClr val="accent1">
                  <a:lumMod val="75000"/>
                </a:schemeClr>
              </a:solidFill>
            </a:ln>
          </c:spPr>
          <c:marker>
            <c:symbol val="none"/>
          </c:marker>
          <c:val>
            <c:numRef>
              <c:f>'[CNCO2XXA_DRAFT_Non-Geo_NRUF_Comparisons_up_to_2023_Jul_with_pool_ceilings.xlsx]NRUFs and Graphs'!$B$17:$X$17</c:f>
              <c:numCache>
                <c:formatCode>General</c:formatCode>
                <c:ptCount val="23"/>
                <c:pt idx="0">
                  <c:v>1</c:v>
                </c:pt>
                <c:pt idx="1">
                  <c:v>2</c:v>
                </c:pt>
                <c:pt idx="2">
                  <c:v>2</c:v>
                </c:pt>
                <c:pt idx="3">
                  <c:v>3</c:v>
                </c:pt>
                <c:pt idx="4">
                  <c:v>4</c:v>
                </c:pt>
                <c:pt idx="5">
                  <c:v>4</c:v>
                </c:pt>
                <c:pt idx="6">
                  <c:v>5</c:v>
                </c:pt>
                <c:pt idx="7">
                  <c:v>6</c:v>
                </c:pt>
                <c:pt idx="8">
                  <c:v>7</c:v>
                </c:pt>
                <c:pt idx="9">
                  <c:v>8</c:v>
                </c:pt>
                <c:pt idx="10">
                  <c:v>10</c:v>
                </c:pt>
                <c:pt idx="11">
                  <c:v>11</c:v>
                </c:pt>
                <c:pt idx="12">
                  <c:v>12</c:v>
                </c:pt>
                <c:pt idx="13">
                  <c:v>13</c:v>
                </c:pt>
                <c:pt idx="14">
                  <c:v>15</c:v>
                </c:pt>
                <c:pt idx="15">
                  <c:v>16</c:v>
                </c:pt>
                <c:pt idx="16">
                  <c:v>18</c:v>
                </c:pt>
                <c:pt idx="17">
                  <c:v>19</c:v>
                </c:pt>
                <c:pt idx="18">
                  <c:v>21</c:v>
                </c:pt>
                <c:pt idx="19">
                  <c:v>22</c:v>
                </c:pt>
                <c:pt idx="20">
                  <c:v>24</c:v>
                </c:pt>
                <c:pt idx="21">
                  <c:v>25</c:v>
                </c:pt>
                <c:pt idx="22">
                  <c:v>27</c:v>
                </c:pt>
              </c:numCache>
            </c:numRef>
          </c:val>
          <c:smooth val="0"/>
          <c:extLst>
            <c:ext xmlns:c16="http://schemas.microsoft.com/office/drawing/2014/chart" uri="{C3380CC4-5D6E-409C-BE32-E72D297353CC}">
              <c16:uniqueId val="{00000003-903D-4B2B-B0A5-2F904B4B569C}"/>
            </c:ext>
          </c:extLst>
        </c:ser>
        <c:ser>
          <c:idx val="9"/>
          <c:order val="4"/>
          <c:tx>
            <c:strRef>
              <c:f>'[CNCO2XXA_DRAFT_Non-Geo_NRUF_Comparisons_up_to_2023_Jul_with_pool_ceilings.xlsx]NRUFs and Graphs'!$A$23</c:f>
              <c:strCache>
                <c:ptCount val="1"/>
                <c:pt idx="0">
                  <c:v>Pool - Status quo</c:v>
                </c:pt>
              </c:strCache>
            </c:strRef>
          </c:tx>
          <c:spPr>
            <a:ln>
              <a:solidFill>
                <a:schemeClr val="tx1"/>
              </a:solidFill>
            </a:ln>
          </c:spPr>
          <c:marker>
            <c:symbol val="none"/>
          </c:marker>
          <c:val>
            <c:numRef>
              <c:f>'[CNCO2XXA_DRAFT_Non-Geo_NRUF_Comparisons_up_to_2023_Jul_with_pool_ceilings.xlsx]NRUFs and Graphs'!$B$23:$X$23</c:f>
              <c:numCache>
                <c:formatCode>General</c:formatCode>
                <c:ptCount val="23"/>
                <c:pt idx="0">
                  <c:v>6</c:v>
                </c:pt>
                <c:pt idx="1">
                  <c:v>6</c:v>
                </c:pt>
                <c:pt idx="2">
                  <c:v>6</c:v>
                </c:pt>
                <c:pt idx="3">
                  <c:v>6</c:v>
                </c:pt>
                <c:pt idx="4">
                  <c:v>6</c:v>
                </c:pt>
                <c:pt idx="5">
                  <c:v>6</c:v>
                </c:pt>
                <c:pt idx="6">
                  <c:v>6</c:v>
                </c:pt>
                <c:pt idx="7">
                  <c:v>6</c:v>
                </c:pt>
                <c:pt idx="8">
                  <c:v>6</c:v>
                </c:pt>
                <c:pt idx="9">
                  <c:v>6</c:v>
                </c:pt>
                <c:pt idx="10">
                  <c:v>6</c:v>
                </c:pt>
                <c:pt idx="11">
                  <c:v>6</c:v>
                </c:pt>
                <c:pt idx="12">
                  <c:v>6</c:v>
                </c:pt>
                <c:pt idx="13">
                  <c:v>6</c:v>
                </c:pt>
                <c:pt idx="14">
                  <c:v>6</c:v>
                </c:pt>
                <c:pt idx="15">
                  <c:v>6</c:v>
                </c:pt>
                <c:pt idx="16">
                  <c:v>6</c:v>
                </c:pt>
                <c:pt idx="17">
                  <c:v>6</c:v>
                </c:pt>
                <c:pt idx="18">
                  <c:v>6</c:v>
                </c:pt>
                <c:pt idx="19">
                  <c:v>6</c:v>
                </c:pt>
                <c:pt idx="20">
                  <c:v>6</c:v>
                </c:pt>
                <c:pt idx="21">
                  <c:v>6</c:v>
                </c:pt>
                <c:pt idx="22">
                  <c:v>6</c:v>
                </c:pt>
              </c:numCache>
            </c:numRef>
          </c:val>
          <c:smooth val="0"/>
          <c:extLst>
            <c:ext xmlns:c16="http://schemas.microsoft.com/office/drawing/2014/chart" uri="{C3380CC4-5D6E-409C-BE32-E72D297353CC}">
              <c16:uniqueId val="{00000004-903D-4B2B-B0A5-2F904B4B569C}"/>
            </c:ext>
          </c:extLst>
        </c:ser>
        <c:ser>
          <c:idx val="0"/>
          <c:order val="5"/>
          <c:tx>
            <c:v>January 2022 NRUF</c:v>
          </c:tx>
          <c:spPr>
            <a:ln w="28575" cap="rnd">
              <a:solidFill>
                <a:srgbClr val="00B050"/>
              </a:solidFill>
              <a:round/>
            </a:ln>
            <a:effectLst/>
          </c:spPr>
          <c:marker>
            <c:symbol val="none"/>
          </c:marker>
          <c:cat>
            <c:numRef>
              <c:f>'[CNCO2XXA_DRAFT_Non-Geo_NRUF_Comparisons_up_to_2023_Jul_with_pool_ceilings.xlsx]NRUFs and Graphs'!$B$12:$X$12</c:f>
              <c:numCache>
                <c:formatCode>General</c:formatCode>
                <c:ptCount val="23"/>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numCache>
            </c:numRef>
          </c:cat>
          <c:val>
            <c:numRef>
              <c:f>'[CNCO2XXA_DRAFT_Non-Geo_NRUF_Comparisons_up_to_2023_Jul_with_pool_ceilings.xlsx]NRUFs and Graphs'!$B$5:$U$5</c:f>
              <c:numCache>
                <c:formatCode>General</c:formatCode>
                <c:ptCount val="20"/>
                <c:pt idx="0">
                  <c:v>1</c:v>
                </c:pt>
                <c:pt idx="1">
                  <c:v>2</c:v>
                </c:pt>
                <c:pt idx="2">
                  <c:v>2</c:v>
                </c:pt>
                <c:pt idx="3">
                  <c:v>3</c:v>
                </c:pt>
                <c:pt idx="4">
                  <c:v>4</c:v>
                </c:pt>
                <c:pt idx="5">
                  <c:v>6</c:v>
                </c:pt>
                <c:pt idx="6">
                  <c:v>6</c:v>
                </c:pt>
                <c:pt idx="7">
                  <c:v>8</c:v>
                </c:pt>
                <c:pt idx="8">
                  <c:v>9</c:v>
                </c:pt>
                <c:pt idx="9">
                  <c:v>10</c:v>
                </c:pt>
                <c:pt idx="10">
                  <c:v>10</c:v>
                </c:pt>
                <c:pt idx="11">
                  <c:v>11</c:v>
                </c:pt>
                <c:pt idx="12">
                  <c:v>12</c:v>
                </c:pt>
                <c:pt idx="13">
                  <c:v>13</c:v>
                </c:pt>
                <c:pt idx="14">
                  <c:v>13</c:v>
                </c:pt>
                <c:pt idx="15">
                  <c:v>14</c:v>
                </c:pt>
                <c:pt idx="16">
                  <c:v>15</c:v>
                </c:pt>
                <c:pt idx="17">
                  <c:v>16</c:v>
                </c:pt>
                <c:pt idx="18">
                  <c:v>16</c:v>
                </c:pt>
                <c:pt idx="19">
                  <c:v>17</c:v>
                </c:pt>
              </c:numCache>
            </c:numRef>
          </c:val>
          <c:smooth val="0"/>
          <c:extLst>
            <c:ext xmlns:c16="http://schemas.microsoft.com/office/drawing/2014/chart" uri="{C3380CC4-5D6E-409C-BE32-E72D297353CC}">
              <c16:uniqueId val="{00000005-903D-4B2B-B0A5-2F904B4B569C}"/>
            </c:ext>
          </c:extLst>
        </c:ser>
        <c:ser>
          <c:idx val="1"/>
          <c:order val="6"/>
          <c:tx>
            <c:v>July 2022 NRUF</c:v>
          </c:tx>
          <c:spPr>
            <a:ln w="28575" cap="rnd">
              <a:solidFill>
                <a:srgbClr val="FF0000"/>
              </a:solidFill>
              <a:round/>
            </a:ln>
            <a:effectLst/>
          </c:spPr>
          <c:marker>
            <c:symbol val="none"/>
          </c:marker>
          <c:dLbls>
            <c:dLbl>
              <c:idx val="2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03D-4B2B-B0A5-2F904B4B56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'[CNCO2XXA_DRAFT_Non-Geo_NRUF_Comparisons_up_to_2023_Jul_with_pool_ceilings.xlsx]NRUFs and Graphs'!$B$12:$X$12</c:f>
              <c:numCache>
                <c:formatCode>General</c:formatCode>
                <c:ptCount val="23"/>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numCache>
            </c:numRef>
          </c:cat>
          <c:val>
            <c:numRef>
              <c:f>'[CNCO2XXA_DRAFT_Non-Geo_NRUF_Comparisons_up_to_2023_Jul_with_pool_ceilings.xlsx]NRUFs and Graphs'!$B$9:$X$9</c:f>
              <c:numCache>
                <c:formatCode>General</c:formatCode>
                <c:ptCount val="23"/>
                <c:pt idx="0">
                  <c:v>1</c:v>
                </c:pt>
                <c:pt idx="1">
                  <c:v>1</c:v>
                </c:pt>
                <c:pt idx="2">
                  <c:v>2</c:v>
                </c:pt>
                <c:pt idx="3">
                  <c:v>3</c:v>
                </c:pt>
                <c:pt idx="4">
                  <c:v>5</c:v>
                </c:pt>
                <c:pt idx="5">
                  <c:v>8</c:v>
                </c:pt>
                <c:pt idx="6">
                  <c:v>13</c:v>
                </c:pt>
                <c:pt idx="7">
                  <c:v>20</c:v>
                </c:pt>
                <c:pt idx="8">
                  <c:v>29</c:v>
                </c:pt>
                <c:pt idx="9">
                  <c:v>40</c:v>
                </c:pt>
                <c:pt idx="10">
                  <c:v>53</c:v>
                </c:pt>
                <c:pt idx="11">
                  <c:v>67</c:v>
                </c:pt>
                <c:pt idx="12">
                  <c:v>84</c:v>
                </c:pt>
                <c:pt idx="13">
                  <c:v>103</c:v>
                </c:pt>
                <c:pt idx="14">
                  <c:v>123</c:v>
                </c:pt>
                <c:pt idx="15">
                  <c:v>145</c:v>
                </c:pt>
                <c:pt idx="16">
                  <c:v>168</c:v>
                </c:pt>
                <c:pt idx="17">
                  <c:v>192</c:v>
                </c:pt>
                <c:pt idx="18">
                  <c:v>221</c:v>
                </c:pt>
                <c:pt idx="19">
                  <c:v>251</c:v>
                </c:pt>
                <c:pt idx="20">
                  <c:v>285</c:v>
                </c:pt>
                <c:pt idx="21">
                  <c:v>321</c:v>
                </c:pt>
                <c:pt idx="22">
                  <c:v>360</c:v>
                </c:pt>
              </c:numCache>
            </c:numRef>
          </c:val>
          <c:smooth val="0"/>
          <c:extLst>
            <c:ext xmlns:c16="http://schemas.microsoft.com/office/drawing/2014/chart" uri="{C3380CC4-5D6E-409C-BE32-E72D297353CC}">
              <c16:uniqueId val="{00000007-903D-4B2B-B0A5-2F904B4B569C}"/>
            </c:ext>
          </c:extLst>
        </c:ser>
        <c:ser>
          <c:idx val="2"/>
          <c:order val="7"/>
          <c:tx>
            <c:v>January 2023 NRUF</c:v>
          </c:tx>
          <c:spPr>
            <a:ln w="28575" cap="rnd">
              <a:solidFill>
                <a:srgbClr val="7030A0"/>
              </a:solidFill>
              <a:round/>
            </a:ln>
            <a:effectLst/>
          </c:spPr>
          <c:marker>
            <c:symbol val="none"/>
          </c:marker>
          <c:dLbls>
            <c:dLbl>
              <c:idx val="2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03D-4B2B-B0A5-2F904B4B56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'[CNCO2XXA_DRAFT_Non-Geo_NRUF_Comparisons_up_to_2023_Jul_with_pool_ceilings.xlsx]NRUFs and Graphs'!$B$12:$X$12</c:f>
              <c:numCache>
                <c:formatCode>General</c:formatCode>
                <c:ptCount val="23"/>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numCache>
            </c:numRef>
          </c:cat>
          <c:val>
            <c:numRef>
              <c:f>'[CNCO2XXA_DRAFT_Non-Geo_NRUF_Comparisons_up_to_2023_Jul_with_pool_ceilings.xlsx]NRUFs and Graphs'!$B$13:$X$13</c:f>
              <c:numCache>
                <c:formatCode>General</c:formatCode>
                <c:ptCount val="23"/>
                <c:pt idx="0">
                  <c:v>1</c:v>
                </c:pt>
                <c:pt idx="1">
                  <c:v>1</c:v>
                </c:pt>
                <c:pt idx="2">
                  <c:v>1</c:v>
                </c:pt>
                <c:pt idx="3">
                  <c:v>2</c:v>
                </c:pt>
                <c:pt idx="4">
                  <c:v>2</c:v>
                </c:pt>
                <c:pt idx="5">
                  <c:v>3</c:v>
                </c:pt>
                <c:pt idx="6">
                  <c:v>4</c:v>
                </c:pt>
                <c:pt idx="7">
                  <c:v>4</c:v>
                </c:pt>
                <c:pt idx="8">
                  <c:v>5</c:v>
                </c:pt>
                <c:pt idx="9">
                  <c:v>6</c:v>
                </c:pt>
                <c:pt idx="10">
                  <c:v>7</c:v>
                </c:pt>
                <c:pt idx="11">
                  <c:v>8</c:v>
                </c:pt>
                <c:pt idx="12">
                  <c:v>9</c:v>
                </c:pt>
                <c:pt idx="13">
                  <c:v>10</c:v>
                </c:pt>
                <c:pt idx="14">
                  <c:v>12</c:v>
                </c:pt>
                <c:pt idx="15">
                  <c:v>13</c:v>
                </c:pt>
                <c:pt idx="16">
                  <c:v>14</c:v>
                </c:pt>
                <c:pt idx="17">
                  <c:v>15</c:v>
                </c:pt>
                <c:pt idx="18">
                  <c:v>17</c:v>
                </c:pt>
                <c:pt idx="19">
                  <c:v>18</c:v>
                </c:pt>
                <c:pt idx="20">
                  <c:v>19</c:v>
                </c:pt>
                <c:pt idx="21">
                  <c:v>21</c:v>
                </c:pt>
                <c:pt idx="22">
                  <c:v>22</c:v>
                </c:pt>
              </c:numCache>
            </c:numRef>
          </c:val>
          <c:smooth val="0"/>
          <c:extLst>
            <c:ext xmlns:c16="http://schemas.microsoft.com/office/drawing/2014/chart" uri="{C3380CC4-5D6E-409C-BE32-E72D297353CC}">
              <c16:uniqueId val="{00000009-903D-4B2B-B0A5-2F904B4B569C}"/>
            </c:ext>
          </c:extLst>
        </c:ser>
        <c:ser>
          <c:idx val="3"/>
          <c:order val="8"/>
          <c:tx>
            <c:v>July 2023 NRUF</c:v>
          </c:tx>
          <c:spPr>
            <a:ln w="28575" cap="rnd">
              <a:solidFill>
                <a:schemeClr val="accent1">
                  <a:lumMod val="75000"/>
                </a:schemeClr>
              </a:solidFill>
              <a:round/>
            </a:ln>
            <a:effectLst/>
          </c:spPr>
          <c:marker>
            <c:symbol val="none"/>
          </c:marker>
          <c:dLbls>
            <c:dLbl>
              <c:idx val="2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03D-4B2B-B0A5-2F904B4B56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'[CNCO2XXA_DRAFT_Non-Geo_NRUF_Comparisons_up_to_2023_Jul_with_pool_ceilings.xlsx]NRUFs and Graphs'!$B$17:$X$17</c:f>
              <c:numCache>
                <c:formatCode>General</c:formatCode>
                <c:ptCount val="23"/>
                <c:pt idx="0">
                  <c:v>1</c:v>
                </c:pt>
                <c:pt idx="1">
                  <c:v>2</c:v>
                </c:pt>
                <c:pt idx="2">
                  <c:v>2</c:v>
                </c:pt>
                <c:pt idx="3">
                  <c:v>3</c:v>
                </c:pt>
                <c:pt idx="4">
                  <c:v>4</c:v>
                </c:pt>
                <c:pt idx="5">
                  <c:v>4</c:v>
                </c:pt>
                <c:pt idx="6">
                  <c:v>5</c:v>
                </c:pt>
                <c:pt idx="7">
                  <c:v>6</c:v>
                </c:pt>
                <c:pt idx="8">
                  <c:v>7</c:v>
                </c:pt>
                <c:pt idx="9">
                  <c:v>8</c:v>
                </c:pt>
                <c:pt idx="10">
                  <c:v>10</c:v>
                </c:pt>
                <c:pt idx="11">
                  <c:v>11</c:v>
                </c:pt>
                <c:pt idx="12">
                  <c:v>12</c:v>
                </c:pt>
                <c:pt idx="13">
                  <c:v>13</c:v>
                </c:pt>
                <c:pt idx="14">
                  <c:v>15</c:v>
                </c:pt>
                <c:pt idx="15">
                  <c:v>16</c:v>
                </c:pt>
                <c:pt idx="16">
                  <c:v>18</c:v>
                </c:pt>
                <c:pt idx="17">
                  <c:v>19</c:v>
                </c:pt>
                <c:pt idx="18">
                  <c:v>21</c:v>
                </c:pt>
                <c:pt idx="19">
                  <c:v>22</c:v>
                </c:pt>
                <c:pt idx="20">
                  <c:v>24</c:v>
                </c:pt>
                <c:pt idx="21">
                  <c:v>25</c:v>
                </c:pt>
                <c:pt idx="22">
                  <c:v>27</c:v>
                </c:pt>
              </c:numCache>
            </c:numRef>
          </c:val>
          <c:smooth val="0"/>
          <c:extLst>
            <c:ext xmlns:c16="http://schemas.microsoft.com/office/drawing/2014/chart" uri="{C3380CC4-5D6E-409C-BE32-E72D297353CC}">
              <c16:uniqueId val="{0000000B-903D-4B2B-B0A5-2F904B4B569C}"/>
            </c:ext>
          </c:extLst>
        </c:ser>
        <c:ser>
          <c:idx val="4"/>
          <c:order val="9"/>
          <c:tx>
            <c:strRef>
              <c:f>'[CNCO2XXA_DRAFT_Non-Geo_NRUF_Comparisons_up_to_2023_Jul_with_pool_ceilings.xlsx]NRUFs and Graphs'!$A$23</c:f>
              <c:strCache>
                <c:ptCount val="1"/>
                <c:pt idx="0">
                  <c:v>Pool - Status quo</c:v>
                </c:pt>
              </c:strCache>
            </c:strRef>
          </c:tx>
          <c:spPr>
            <a:ln w="28575" cap="rnd">
              <a:solidFill>
                <a:schemeClr val="tx1"/>
              </a:solidFill>
              <a:round/>
            </a:ln>
            <a:effectLst/>
          </c:spPr>
          <c:marker>
            <c:symbol val="none"/>
          </c:marker>
          <c:dLbls>
            <c:dLbl>
              <c:idx val="2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03D-4B2B-B0A5-2F904B4B56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'[CNCO2XXA_DRAFT_Non-Geo_NRUF_Comparisons_up_to_2023_Jul_with_pool_ceilings.xlsx]NRUFs and Graphs'!$B$23:$X$23</c:f>
              <c:numCache>
                <c:formatCode>General</c:formatCode>
                <c:ptCount val="23"/>
                <c:pt idx="0">
                  <c:v>6</c:v>
                </c:pt>
                <c:pt idx="1">
                  <c:v>6</c:v>
                </c:pt>
                <c:pt idx="2">
                  <c:v>6</c:v>
                </c:pt>
                <c:pt idx="3">
                  <c:v>6</c:v>
                </c:pt>
                <c:pt idx="4">
                  <c:v>6</c:v>
                </c:pt>
                <c:pt idx="5">
                  <c:v>6</c:v>
                </c:pt>
                <c:pt idx="6">
                  <c:v>6</c:v>
                </c:pt>
                <c:pt idx="7">
                  <c:v>6</c:v>
                </c:pt>
                <c:pt idx="8">
                  <c:v>6</c:v>
                </c:pt>
                <c:pt idx="9">
                  <c:v>6</c:v>
                </c:pt>
                <c:pt idx="10">
                  <c:v>6</c:v>
                </c:pt>
                <c:pt idx="11">
                  <c:v>6</c:v>
                </c:pt>
                <c:pt idx="12">
                  <c:v>6</c:v>
                </c:pt>
                <c:pt idx="13">
                  <c:v>6</c:v>
                </c:pt>
                <c:pt idx="14">
                  <c:v>6</c:v>
                </c:pt>
                <c:pt idx="15">
                  <c:v>6</c:v>
                </c:pt>
                <c:pt idx="16">
                  <c:v>6</c:v>
                </c:pt>
                <c:pt idx="17">
                  <c:v>6</c:v>
                </c:pt>
                <c:pt idx="18">
                  <c:v>6</c:v>
                </c:pt>
                <c:pt idx="19">
                  <c:v>6</c:v>
                </c:pt>
                <c:pt idx="20">
                  <c:v>6</c:v>
                </c:pt>
                <c:pt idx="21">
                  <c:v>6</c:v>
                </c:pt>
                <c:pt idx="22">
                  <c:v>6</c:v>
                </c:pt>
              </c:numCache>
            </c:numRef>
          </c:val>
          <c:smooth val="0"/>
          <c:extLst>
            <c:ext xmlns:c16="http://schemas.microsoft.com/office/drawing/2014/chart" uri="{C3380CC4-5D6E-409C-BE32-E72D297353CC}">
              <c16:uniqueId val="{0000000D-903D-4B2B-B0A5-2F904B4B569C}"/>
            </c:ext>
          </c:extLst>
        </c:ser>
        <c:dLbls>
          <c:showLegendKey val="0"/>
          <c:showVal val="0"/>
          <c:showCatName val="0"/>
          <c:showSerName val="0"/>
          <c:showPercent val="0"/>
          <c:showBubbleSize val="0"/>
        </c:dLbls>
        <c:smooth val="0"/>
        <c:axId val="1585538367"/>
        <c:axId val="1585538783"/>
      </c:lineChart>
      <c:catAx>
        <c:axId val="158553836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Year</a:t>
                </a:r>
              </a:p>
            </c:rich>
          </c:tx>
          <c:overlay val="0"/>
          <c:spPr>
            <a:noFill/>
            <a:ln>
              <a:noFill/>
            </a:ln>
            <a:effectLst/>
          </c:spPr>
        </c:title>
        <c:numFmt formatCode="General" sourceLinked="1"/>
        <c:majorTickMark val="none"/>
        <c:minorTickMark val="none"/>
        <c:tickLblPos val="low"/>
        <c:spPr>
          <a:noFill/>
          <a:ln w="9525" cap="flat" cmpd="sng" algn="ctr">
            <a:solidFill>
              <a:srgbClr val="00B050"/>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5538783"/>
        <c:crosses val="autoZero"/>
        <c:auto val="1"/>
        <c:lblAlgn val="ctr"/>
        <c:lblOffset val="100"/>
        <c:noMultiLvlLbl val="0"/>
      </c:catAx>
      <c:valAx>
        <c:axId val="1585538783"/>
        <c:scaling>
          <c:logBase val="10"/>
          <c:orientation val="minMax"/>
          <c:min val="1"/>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sz="1000" b="0" i="0" baseline="0">
                    <a:effectLst/>
                  </a:rPr>
                  <a:t>Forecasted NPAs Required</a:t>
                </a:r>
                <a:endParaRPr lang="en-CA" sz="1000">
                  <a:effectLst/>
                </a:endParaRPr>
              </a:p>
              <a:p>
                <a:pPr>
                  <a:defRPr sz="1000" b="0" i="0" u="none" strike="noStrike" kern="1200" baseline="0">
                    <a:solidFill>
                      <a:schemeClr val="tx1">
                        <a:lumMod val="65000"/>
                        <a:lumOff val="35000"/>
                      </a:schemeClr>
                    </a:solidFill>
                    <a:latin typeface="+mn-lt"/>
                    <a:ea typeface="+mn-ea"/>
                    <a:cs typeface="+mn-cs"/>
                  </a:defRPr>
                </a:pPr>
                <a:r>
                  <a:rPr lang="en-CA" sz="1000" b="0" i="0" baseline="0">
                    <a:effectLst/>
                  </a:rPr>
                  <a:t>(logarithmic scale)</a:t>
                </a:r>
                <a:endParaRPr lang="en-CA" sz="1000">
                  <a:effectLst/>
                </a:endParaRPr>
              </a:p>
            </c:rich>
          </c:tx>
          <c:overlay val="0"/>
          <c:spPr>
            <a:noFill/>
            <a:ln>
              <a:noFill/>
            </a:ln>
            <a:effectLst/>
          </c:spPr>
        </c:title>
        <c:numFmt formatCode="General" sourceLinked="1"/>
        <c:majorTickMark val="none"/>
        <c:minorTickMark val="in"/>
        <c:tickLblPos val="nextTo"/>
        <c:spPr>
          <a:noFill/>
          <a:ln>
            <a:solidFill>
              <a:srgbClr val="00B050">
                <a:alpha val="90000"/>
              </a:srgb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5538367"/>
        <c:crosses val="autoZero"/>
        <c:crossBetween val="between"/>
      </c:valAx>
    </c:plotArea>
    <c:legend>
      <c:legendPos val="b"/>
      <c:legendEntry>
        <c:idx val="4"/>
        <c:delete val="1"/>
      </c:legendEntry>
      <c:legendEntry>
        <c:idx val="5"/>
        <c:delete val="1"/>
      </c:legendEntry>
      <c:legendEntry>
        <c:idx val="6"/>
        <c:delete val="1"/>
      </c:legendEntry>
      <c:legendEntry>
        <c:idx val="7"/>
        <c:delete val="1"/>
      </c:legendEntry>
      <c:legendEntry>
        <c:idx val="8"/>
        <c:delete val="1"/>
      </c:legendEntry>
      <c:layout>
        <c:manualLayout>
          <c:xMode val="edge"/>
          <c:yMode val="edge"/>
          <c:x val="6.9552589679053672E-2"/>
          <c:y val="0.87072330448377733"/>
          <c:w val="0.86916499252742385"/>
          <c:h val="0.1068209485393383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Sheet1!$B$14</c:f>
              <c:strCache>
                <c:ptCount val="1"/>
                <c:pt idx="0">
                  <c:v>Demand of NPAs from NRUF</c:v>
                </c:pt>
              </c:strCache>
            </c:strRef>
          </c:tx>
          <c:spPr>
            <a:ln w="28575" cap="rnd">
              <a:solidFill>
                <a:schemeClr val="accent1"/>
              </a:solidFill>
              <a:round/>
            </a:ln>
            <a:effectLst/>
          </c:spPr>
          <c:marker>
            <c:symbol val="none"/>
          </c:marker>
          <c:dLbls>
            <c:delete val="1"/>
          </c:dLbls>
          <c:cat>
            <c:numRef>
              <c:f>Sheet1!$C$13:$X$13</c:f>
              <c:numCache>
                <c:formatCode>General</c:formatCode>
                <c:ptCount val="22"/>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numCache>
            </c:numRef>
          </c:cat>
          <c:val>
            <c:numRef>
              <c:f>Sheet1!$C$14:$X$14</c:f>
              <c:numCache>
                <c:formatCode>General</c:formatCode>
                <c:ptCount val="22"/>
                <c:pt idx="0">
                  <c:v>2</c:v>
                </c:pt>
                <c:pt idx="1">
                  <c:v>2</c:v>
                </c:pt>
                <c:pt idx="2">
                  <c:v>3</c:v>
                </c:pt>
                <c:pt idx="3">
                  <c:v>4</c:v>
                </c:pt>
                <c:pt idx="4">
                  <c:v>4</c:v>
                </c:pt>
                <c:pt idx="5">
                  <c:v>5</c:v>
                </c:pt>
                <c:pt idx="6">
                  <c:v>6</c:v>
                </c:pt>
                <c:pt idx="7">
                  <c:v>7</c:v>
                </c:pt>
                <c:pt idx="8">
                  <c:v>8</c:v>
                </c:pt>
                <c:pt idx="9">
                  <c:v>10</c:v>
                </c:pt>
                <c:pt idx="10">
                  <c:v>11</c:v>
                </c:pt>
                <c:pt idx="11">
                  <c:v>12</c:v>
                </c:pt>
                <c:pt idx="12">
                  <c:v>13</c:v>
                </c:pt>
                <c:pt idx="13">
                  <c:v>15</c:v>
                </c:pt>
                <c:pt idx="14">
                  <c:v>16</c:v>
                </c:pt>
                <c:pt idx="15">
                  <c:v>18</c:v>
                </c:pt>
                <c:pt idx="16">
                  <c:v>19</c:v>
                </c:pt>
                <c:pt idx="17">
                  <c:v>21</c:v>
                </c:pt>
                <c:pt idx="18">
                  <c:v>22</c:v>
                </c:pt>
                <c:pt idx="19">
                  <c:v>24</c:v>
                </c:pt>
                <c:pt idx="20">
                  <c:v>25</c:v>
                </c:pt>
                <c:pt idx="21">
                  <c:v>27</c:v>
                </c:pt>
              </c:numCache>
            </c:numRef>
          </c:val>
          <c:smooth val="0"/>
          <c:extLst>
            <c:ext xmlns:c16="http://schemas.microsoft.com/office/drawing/2014/chart" uri="{C3380CC4-5D6E-409C-BE32-E72D297353CC}">
              <c16:uniqueId val="{00000000-BB3F-4F7C-BA56-6BB8F7ED5867}"/>
            </c:ext>
          </c:extLst>
        </c:ser>
        <c:ser>
          <c:idx val="1"/>
          <c:order val="1"/>
          <c:tx>
            <c:strRef>
              <c:f>Sheet1!$B$15</c:f>
              <c:strCache>
                <c:ptCount val="1"/>
                <c:pt idx="0">
                  <c:v>Existing pool of Non- Geo Codes</c:v>
                </c:pt>
              </c:strCache>
            </c:strRef>
          </c:tx>
          <c:spPr>
            <a:ln w="28575" cap="rnd">
              <a:solidFill>
                <a:schemeClr val="accent2"/>
              </a:solidFill>
              <a:round/>
            </a:ln>
            <a:effectLst/>
          </c:spPr>
          <c:marker>
            <c:symbol val="none"/>
          </c:marker>
          <c:dLbls>
            <c:delete val="1"/>
          </c:dLbls>
          <c:cat>
            <c:numRef>
              <c:f>Sheet1!$C$13:$X$13</c:f>
              <c:numCache>
                <c:formatCode>General</c:formatCode>
                <c:ptCount val="22"/>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numCache>
            </c:numRef>
          </c:cat>
          <c:val>
            <c:numRef>
              <c:f>Sheet1!$C$15:$X$15</c:f>
              <c:numCache>
                <c:formatCode>General</c:formatCode>
                <c:ptCount val="22"/>
                <c:pt idx="0">
                  <c:v>6</c:v>
                </c:pt>
                <c:pt idx="1">
                  <c:v>6</c:v>
                </c:pt>
                <c:pt idx="2">
                  <c:v>6</c:v>
                </c:pt>
                <c:pt idx="3">
                  <c:v>6</c:v>
                </c:pt>
                <c:pt idx="4">
                  <c:v>6</c:v>
                </c:pt>
                <c:pt idx="5">
                  <c:v>6</c:v>
                </c:pt>
                <c:pt idx="6">
                  <c:v>6</c:v>
                </c:pt>
                <c:pt idx="7">
                  <c:v>6</c:v>
                </c:pt>
                <c:pt idx="8">
                  <c:v>6</c:v>
                </c:pt>
                <c:pt idx="9">
                  <c:v>6</c:v>
                </c:pt>
                <c:pt idx="10">
                  <c:v>6</c:v>
                </c:pt>
                <c:pt idx="11">
                  <c:v>6</c:v>
                </c:pt>
                <c:pt idx="12">
                  <c:v>6</c:v>
                </c:pt>
                <c:pt idx="13">
                  <c:v>6</c:v>
                </c:pt>
                <c:pt idx="14">
                  <c:v>6</c:v>
                </c:pt>
                <c:pt idx="15">
                  <c:v>6</c:v>
                </c:pt>
                <c:pt idx="16">
                  <c:v>6</c:v>
                </c:pt>
                <c:pt idx="17">
                  <c:v>6</c:v>
                </c:pt>
                <c:pt idx="18">
                  <c:v>6</c:v>
                </c:pt>
                <c:pt idx="19">
                  <c:v>6</c:v>
                </c:pt>
                <c:pt idx="20">
                  <c:v>6</c:v>
                </c:pt>
                <c:pt idx="21">
                  <c:v>6</c:v>
                </c:pt>
              </c:numCache>
            </c:numRef>
          </c:val>
          <c:smooth val="0"/>
          <c:extLst>
            <c:ext xmlns:c16="http://schemas.microsoft.com/office/drawing/2014/chart" uri="{C3380CC4-5D6E-409C-BE32-E72D297353CC}">
              <c16:uniqueId val="{00000001-BB3F-4F7C-BA56-6BB8F7ED5867}"/>
            </c:ext>
          </c:extLst>
        </c:ser>
        <c:ser>
          <c:idx val="2"/>
          <c:order val="2"/>
          <c:tx>
            <c:strRef>
              <c:f>Sheet1!$B$16</c:f>
              <c:strCache>
                <c:ptCount val="1"/>
                <c:pt idx="0">
                  <c:v>Expanded pool of NPAs available</c:v>
                </c:pt>
              </c:strCache>
            </c:strRef>
          </c:tx>
          <c:spPr>
            <a:ln w="28575" cap="rnd">
              <a:solidFill>
                <a:schemeClr val="accent3"/>
              </a:solidFill>
              <a:round/>
            </a:ln>
            <a:effectLst/>
          </c:spPr>
          <c:marker>
            <c:symbol val="none"/>
          </c:marker>
          <c:dLbls>
            <c:delete val="1"/>
          </c:dLbls>
          <c:cat>
            <c:numRef>
              <c:f>Sheet1!$C$13:$X$13</c:f>
              <c:numCache>
                <c:formatCode>General</c:formatCode>
                <c:ptCount val="22"/>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numCache>
            </c:numRef>
          </c:cat>
          <c:val>
            <c:numRef>
              <c:f>Sheet1!$C$16:$X$16</c:f>
              <c:numCache>
                <c:formatCode>General</c:formatCode>
                <c:ptCount val="22"/>
                <c:pt idx="0">
                  <c:v>6</c:v>
                </c:pt>
                <c:pt idx="1">
                  <c:v>6</c:v>
                </c:pt>
                <c:pt idx="2">
                  <c:v>7</c:v>
                </c:pt>
                <c:pt idx="3">
                  <c:v>7</c:v>
                </c:pt>
                <c:pt idx="4">
                  <c:v>25</c:v>
                </c:pt>
                <c:pt idx="5">
                  <c:v>25</c:v>
                </c:pt>
                <c:pt idx="6">
                  <c:v>25</c:v>
                </c:pt>
                <c:pt idx="7">
                  <c:v>25</c:v>
                </c:pt>
                <c:pt idx="8">
                  <c:v>25</c:v>
                </c:pt>
                <c:pt idx="9">
                  <c:v>25</c:v>
                </c:pt>
                <c:pt idx="10">
                  <c:v>25</c:v>
                </c:pt>
                <c:pt idx="11">
                  <c:v>25</c:v>
                </c:pt>
                <c:pt idx="12">
                  <c:v>25</c:v>
                </c:pt>
                <c:pt idx="13">
                  <c:v>25</c:v>
                </c:pt>
                <c:pt idx="14">
                  <c:v>25</c:v>
                </c:pt>
                <c:pt idx="15">
                  <c:v>25</c:v>
                </c:pt>
                <c:pt idx="16">
                  <c:v>25</c:v>
                </c:pt>
                <c:pt idx="17">
                  <c:v>25</c:v>
                </c:pt>
                <c:pt idx="18">
                  <c:v>25</c:v>
                </c:pt>
                <c:pt idx="19">
                  <c:v>25</c:v>
                </c:pt>
                <c:pt idx="20">
                  <c:v>25</c:v>
                </c:pt>
                <c:pt idx="21">
                  <c:v>25</c:v>
                </c:pt>
              </c:numCache>
            </c:numRef>
          </c:val>
          <c:smooth val="0"/>
          <c:extLst>
            <c:ext xmlns:c16="http://schemas.microsoft.com/office/drawing/2014/chart" uri="{C3380CC4-5D6E-409C-BE32-E72D297353CC}">
              <c16:uniqueId val="{00000002-BB3F-4F7C-BA56-6BB8F7ED5867}"/>
            </c:ext>
          </c:extLst>
        </c:ser>
        <c:dLbls>
          <c:dLblPos val="t"/>
          <c:showLegendKey val="0"/>
          <c:showVal val="1"/>
          <c:showCatName val="0"/>
          <c:showSerName val="0"/>
          <c:showPercent val="0"/>
          <c:showBubbleSize val="0"/>
        </c:dLbls>
        <c:smooth val="0"/>
        <c:axId val="565971472"/>
        <c:axId val="565971832"/>
      </c:lineChart>
      <c:catAx>
        <c:axId val="56597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971832"/>
        <c:crosses val="autoZero"/>
        <c:auto val="1"/>
        <c:lblAlgn val="ctr"/>
        <c:lblOffset val="100"/>
        <c:noMultiLvlLbl val="0"/>
      </c:catAx>
      <c:valAx>
        <c:axId val="565971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971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7699915" cy="4846740"/>
        </a:xfrm>
        <a:prstGeom xmlns:a="http://schemas.openxmlformats.org/drawingml/2006/main" prst="rect">
          <a:avLst/>
        </a:prstGeom>
      </cdr:spPr>
    </cdr:pic>
  </cdr:relSizeAnchor>
  <cdr:relSizeAnchor xmlns:cdr="http://schemas.openxmlformats.org/drawingml/2006/chartDrawing">
    <cdr:from>
      <cdr:x>0</cdr:x>
      <cdr:y>0</cdr:y>
    </cdr:from>
    <cdr:to>
      <cdr:x>1</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7699915" cy="484674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879D8-5F9E-4314-A77C-603F08993C82}">
  <ds:schemaRefs>
    <ds:schemaRef ds:uri="http://schemas.microsoft.com/sharepoint/v3/contenttype/forms"/>
  </ds:schemaRefs>
</ds:datastoreItem>
</file>

<file path=customXml/itemProps2.xml><?xml version="1.0" encoding="utf-8"?>
<ds:datastoreItem xmlns:ds="http://schemas.openxmlformats.org/officeDocument/2006/customXml" ds:itemID="{BFC2472C-A8FB-4593-8D2E-AA36E82E1F91}">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3.xml><?xml version="1.0" encoding="utf-8"?>
<ds:datastoreItem xmlns:ds="http://schemas.openxmlformats.org/officeDocument/2006/customXml" ds:itemID="{8734EDF0-3DA3-4478-A695-5EA244F3C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7AD3E-686C-4C9D-B8CF-0A8D84C5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33</Pages>
  <Words>9255</Words>
  <Characters>52760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Thompson</dc:creator>
  <cp:keywords/>
  <dc:description/>
  <cp:lastModifiedBy>David Comrie</cp:lastModifiedBy>
  <cp:revision>26</cp:revision>
  <cp:lastPrinted>2024-01-31T15:54:00Z</cp:lastPrinted>
  <dcterms:created xsi:type="dcterms:W3CDTF">2024-02-26T21:58:00Z</dcterms:created>
  <dcterms:modified xsi:type="dcterms:W3CDTF">2024-04-02T14:32:00Z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