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38A75" w14:textId="77777777" w:rsidR="004766A8" w:rsidRPr="004766A8" w:rsidRDefault="004766A8" w:rsidP="004766A8">
      <w:r w:rsidRPr="004766A8">
        <w:rPr>
          <w:b/>
          <w:bCs/>
        </w:rPr>
        <w:t>CRTC INTERCONNECTION STEERING COMMITTEE</w:t>
      </w:r>
    </w:p>
    <w:p w14:paraId="6A23A41C" w14:textId="77777777" w:rsidR="004766A8" w:rsidRPr="004766A8" w:rsidRDefault="004766A8" w:rsidP="004766A8">
      <w:r w:rsidRPr="004766A8">
        <w:rPr>
          <w:b/>
          <w:bCs/>
          <w:u w:val="single"/>
        </w:rPr>
        <w:t>CONTRIBUTION FORM:</w:t>
      </w:r>
    </w:p>
    <w:p w14:paraId="745BBEE1" w14:textId="2C2F053C" w:rsidR="004766A8" w:rsidRPr="004766A8" w:rsidRDefault="004766A8" w:rsidP="004766A8">
      <w:r w:rsidRPr="004766A8">
        <w:rPr>
          <w:b/>
          <w:bCs/>
        </w:rPr>
        <w:t>Working Group:   </w:t>
      </w:r>
      <w:r>
        <w:rPr>
          <w:b/>
          <w:bCs/>
        </w:rPr>
        <w:t>CSCN</w:t>
      </w:r>
      <w:r w:rsidRPr="004766A8">
        <w:rPr>
          <w:b/>
          <w:bCs/>
        </w:rPr>
        <w:t>                                                   Date of Submission:</w:t>
      </w:r>
      <w:r>
        <w:rPr>
          <w:b/>
          <w:bCs/>
        </w:rPr>
        <w:tab/>
        <w:t>2024-04-1</w:t>
      </w:r>
      <w:r w:rsidR="004C6897">
        <w:rPr>
          <w:b/>
          <w:bCs/>
        </w:rPr>
        <w:t>5</w:t>
      </w:r>
    </w:p>
    <w:p w14:paraId="7EB6AF7A" w14:textId="14731FCF" w:rsidR="004766A8" w:rsidRPr="004766A8" w:rsidRDefault="004766A8" w:rsidP="004766A8">
      <w:r w:rsidRPr="004766A8">
        <w:rPr>
          <w:b/>
          <w:bCs/>
        </w:rPr>
        <w:t>Contribution #:</w:t>
      </w:r>
      <w:r>
        <w:rPr>
          <w:b/>
          <w:bCs/>
        </w:rPr>
        <w:tab/>
        <w:t>23</w:t>
      </w:r>
      <w:r w:rsidR="004C6897">
        <w:rPr>
          <w:b/>
          <w:bCs/>
        </w:rPr>
        <w:t>5</w:t>
      </w:r>
      <w:r>
        <w:rPr>
          <w:b/>
          <w:bCs/>
        </w:rPr>
        <w:t>A</w:t>
      </w:r>
    </w:p>
    <w:p w14:paraId="4176D155" w14:textId="27B28A16" w:rsidR="004766A8" w:rsidRPr="004766A8" w:rsidRDefault="004766A8" w:rsidP="004766A8">
      <w:r w:rsidRPr="004766A8">
        <w:rPr>
          <w:b/>
          <w:bCs/>
        </w:rPr>
        <w:t>TIF #:       </w:t>
      </w:r>
      <w:r>
        <w:rPr>
          <w:b/>
          <w:bCs/>
        </w:rPr>
        <w:t>118</w:t>
      </w:r>
      <w:r w:rsidRPr="004766A8">
        <w:rPr>
          <w:b/>
          <w:bCs/>
        </w:rPr>
        <w:t>                                                                  File ID:</w:t>
      </w:r>
      <w:r>
        <w:rPr>
          <w:b/>
          <w:bCs/>
        </w:rPr>
        <w:tab/>
        <w:t>CNCO23</w:t>
      </w:r>
      <w:r w:rsidR="004C6897">
        <w:rPr>
          <w:b/>
          <w:bCs/>
        </w:rPr>
        <w:t>5</w:t>
      </w:r>
      <w:r>
        <w:rPr>
          <w:b/>
          <w:bCs/>
        </w:rPr>
        <w:t>A</w:t>
      </w:r>
    </w:p>
    <w:p w14:paraId="06498705" w14:textId="776B1810" w:rsidR="004766A8" w:rsidRPr="004766A8" w:rsidRDefault="004766A8" w:rsidP="004766A8">
      <w:r w:rsidRPr="004766A8">
        <w:rPr>
          <w:b/>
          <w:bCs/>
        </w:rPr>
        <w:t>Task Title:</w:t>
      </w:r>
      <w:r>
        <w:rPr>
          <w:b/>
          <w:bCs/>
        </w:rPr>
        <w:tab/>
      </w:r>
      <w:r w:rsidRPr="004766A8">
        <w:rPr>
          <w:b/>
          <w:bCs/>
        </w:rPr>
        <w:t>Update CSCN-Administered Guidelines for Thousands-Block Pooling</w:t>
      </w:r>
    </w:p>
    <w:p w14:paraId="4DCD75D3" w14:textId="15A72182" w:rsidR="004766A8" w:rsidRPr="004766A8" w:rsidRDefault="004766A8" w:rsidP="004766A8">
      <w:r w:rsidRPr="004766A8">
        <w:rPr>
          <w:b/>
          <w:bCs/>
        </w:rPr>
        <w:t>Related to Task(s) ID:</w:t>
      </w:r>
      <w:r>
        <w:rPr>
          <w:b/>
          <w:bCs/>
        </w:rPr>
        <w:tab/>
        <w:t xml:space="preserve">117, 119, </w:t>
      </w:r>
      <w:proofErr w:type="gramStart"/>
      <w:r>
        <w:rPr>
          <w:b/>
          <w:bCs/>
        </w:rPr>
        <w:t>120</w:t>
      </w:r>
      <w:proofErr w:type="gramEnd"/>
    </w:p>
    <w:p w14:paraId="5E2E0388" w14:textId="77777777" w:rsidR="004766A8" w:rsidRPr="004766A8" w:rsidRDefault="004766A8" w:rsidP="004766A8">
      <w:r w:rsidRPr="004766A8">
        <w:rPr>
          <w:b/>
          <w:bCs/>
        </w:rPr>
        <w:t>Contributor:</w:t>
      </w:r>
    </w:p>
    <w:p w14:paraId="264A571E" w14:textId="3B30A975" w:rsidR="004766A8" w:rsidRPr="004766A8" w:rsidRDefault="004766A8" w:rsidP="004766A8">
      <w:r w:rsidRPr="004766A8">
        <w:rPr>
          <w:b/>
          <w:bCs/>
        </w:rPr>
        <w:t>            Name:</w:t>
      </w:r>
      <w:r>
        <w:rPr>
          <w:b/>
          <w:bCs/>
        </w:rPr>
        <w:tab/>
        <w:t>Ed Antecol</w:t>
      </w:r>
    </w:p>
    <w:p w14:paraId="0CFCE428" w14:textId="4238AA27" w:rsidR="004766A8" w:rsidRPr="004766A8" w:rsidRDefault="004766A8" w:rsidP="004766A8">
      <w:r w:rsidRPr="004766A8">
        <w:rPr>
          <w:b/>
          <w:bCs/>
        </w:rPr>
        <w:t>            Company:</w:t>
      </w:r>
      <w:r>
        <w:rPr>
          <w:b/>
          <w:bCs/>
        </w:rPr>
        <w:tab/>
        <w:t>COMsolve Inc.</w:t>
      </w:r>
    </w:p>
    <w:p w14:paraId="5CC9863B" w14:textId="77777777" w:rsidR="004766A8" w:rsidRPr="004766A8" w:rsidRDefault="004766A8" w:rsidP="004766A8">
      <w:r w:rsidRPr="004766A8">
        <w:rPr>
          <w:b/>
          <w:bCs/>
        </w:rPr>
        <w:t>            Address:</w:t>
      </w:r>
    </w:p>
    <w:p w14:paraId="3A2F6C03" w14:textId="77777777" w:rsidR="004766A8" w:rsidRPr="004766A8" w:rsidRDefault="004766A8" w:rsidP="004766A8">
      <w:r w:rsidRPr="004766A8">
        <w:rPr>
          <w:b/>
          <w:bCs/>
        </w:rPr>
        <w:t>            Tel:</w:t>
      </w:r>
    </w:p>
    <w:p w14:paraId="484F7C1E" w14:textId="77777777" w:rsidR="004766A8" w:rsidRPr="004766A8" w:rsidRDefault="004766A8" w:rsidP="004766A8">
      <w:r w:rsidRPr="004766A8">
        <w:rPr>
          <w:b/>
          <w:bCs/>
        </w:rPr>
        <w:t>            Fax:</w:t>
      </w:r>
    </w:p>
    <w:p w14:paraId="2C595A40" w14:textId="77777777" w:rsidR="004766A8" w:rsidRPr="004766A8" w:rsidRDefault="004766A8" w:rsidP="004766A8">
      <w:r w:rsidRPr="004766A8">
        <w:rPr>
          <w:b/>
          <w:bCs/>
        </w:rPr>
        <w:t>            E-mail:</w:t>
      </w:r>
    </w:p>
    <w:p w14:paraId="7AE80A6F" w14:textId="6D139B42" w:rsidR="004766A8" w:rsidRPr="004766A8" w:rsidRDefault="004766A8" w:rsidP="004766A8">
      <w:r w:rsidRPr="004766A8">
        <w:rPr>
          <w:b/>
          <w:bCs/>
        </w:rPr>
        <w:t>Distribution to:</w:t>
      </w:r>
      <w:r>
        <w:rPr>
          <w:b/>
          <w:bCs/>
        </w:rPr>
        <w:tab/>
        <w:t>CSCN</w:t>
      </w:r>
    </w:p>
    <w:p w14:paraId="32E54594" w14:textId="638F6835" w:rsidR="004766A8" w:rsidRDefault="004766A8" w:rsidP="004766A8">
      <w:pPr>
        <w:rPr>
          <w:b/>
          <w:bCs/>
        </w:rPr>
      </w:pPr>
      <w:r w:rsidRPr="004766A8">
        <w:rPr>
          <w:b/>
          <w:bCs/>
        </w:rPr>
        <w:t>Subject:</w:t>
      </w:r>
      <w:r>
        <w:rPr>
          <w:b/>
          <w:bCs/>
        </w:rPr>
        <w:tab/>
      </w:r>
      <w:r w:rsidR="004C6897">
        <w:rPr>
          <w:b/>
          <w:bCs/>
        </w:rPr>
        <w:t>Thousands Block Pooling Guideline Definitions</w:t>
      </w:r>
    </w:p>
    <w:p w14:paraId="24BFA4CC" w14:textId="51F94E21" w:rsidR="004766A8" w:rsidRDefault="004766A8">
      <w:pPr>
        <w:rPr>
          <w:b/>
          <w:bCs/>
        </w:rPr>
        <w:sectPr w:rsidR="004766A8" w:rsidSect="000804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9FA6C7" w14:textId="77777777" w:rsidR="004C6897" w:rsidRDefault="004C6897" w:rsidP="004C6897">
      <w:pPr>
        <w:spacing w:after="0" w:line="240" w:lineRule="auto"/>
        <w:rPr>
          <w:b/>
          <w:bCs/>
        </w:rPr>
      </w:pPr>
    </w:p>
    <w:p w14:paraId="73CDF7BB" w14:textId="77777777" w:rsidR="004C6897" w:rsidRDefault="004C6897" w:rsidP="004C6897">
      <w:pPr>
        <w:spacing w:after="0" w:line="240" w:lineRule="auto"/>
        <w:rPr>
          <w:b/>
          <w:bCs/>
        </w:rPr>
      </w:pPr>
      <w:r>
        <w:rPr>
          <w:b/>
          <w:bCs/>
        </w:rPr>
        <w:t>Thousands-Block Number Pooling Guidelines</w:t>
      </w:r>
    </w:p>
    <w:p w14:paraId="3FA5C02A" w14:textId="77777777" w:rsidR="004C6897" w:rsidRDefault="004C6897" w:rsidP="004C6897">
      <w:pPr>
        <w:spacing w:after="0" w:line="240" w:lineRule="auto"/>
        <w:rPr>
          <w:b/>
          <w:bCs/>
        </w:rPr>
      </w:pPr>
    </w:p>
    <w:p w14:paraId="54C9CF38" w14:textId="77777777" w:rsidR="004C6897" w:rsidRDefault="004C6897" w:rsidP="004C6897">
      <w:pPr>
        <w:spacing w:after="0" w:line="240" w:lineRule="auto"/>
        <w:rPr>
          <w:b/>
          <w:bCs/>
        </w:rPr>
      </w:pPr>
      <w:r>
        <w:rPr>
          <w:b/>
          <w:bCs/>
        </w:rPr>
        <w:t>Definitions</w:t>
      </w:r>
    </w:p>
    <w:p w14:paraId="5D1F6784" w14:textId="77777777" w:rsidR="004C6897" w:rsidRDefault="004C6897" w:rsidP="004C689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6538"/>
      </w:tblGrid>
      <w:tr w:rsidR="004C6897" w14:paraId="0C036A76" w14:textId="77777777" w:rsidTr="009F24BA">
        <w:tc>
          <w:tcPr>
            <w:tcW w:w="2689" w:type="dxa"/>
          </w:tcPr>
          <w:p w14:paraId="18D31A6F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Contamination</w:t>
            </w:r>
          </w:p>
        </w:tc>
        <w:tc>
          <w:tcPr>
            <w:tcW w:w="6661" w:type="dxa"/>
          </w:tcPr>
          <w:p w14:paraId="75A9C1E1" w14:textId="77777777" w:rsidR="004C6897" w:rsidRPr="00B73D4C" w:rsidRDefault="004C6897" w:rsidP="009F24BA">
            <w:pPr>
              <w:rPr>
                <w:b/>
                <w:bCs/>
              </w:rPr>
            </w:pPr>
            <w:r w:rsidRPr="00B73D4C">
              <w:rPr>
                <w:b/>
                <w:bCs/>
              </w:rPr>
              <w:t>Contamination occurs when at least one Telephone Number (TN) within a Thousand</w:t>
            </w:r>
            <w:r>
              <w:rPr>
                <w:b/>
                <w:bCs/>
              </w:rPr>
              <w:t>-</w:t>
            </w:r>
            <w:r w:rsidRPr="00B73D4C">
              <w:rPr>
                <w:b/>
                <w:bCs/>
              </w:rPr>
              <w:t>Block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(NPA-NXX-X)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TNs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a</w:t>
            </w:r>
            <w:r w:rsidRPr="00B73D4C">
              <w:rPr>
                <w:b/>
                <w:bCs/>
              </w:rPr>
              <w:t>vailable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a</w:t>
            </w:r>
            <w:r w:rsidRPr="00B73D4C">
              <w:rPr>
                <w:b/>
                <w:bCs/>
              </w:rPr>
              <w:t>ssignment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end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users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customers.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Thousands-Blocks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contaminated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  <w:highlight w:val="yellow"/>
              </w:rPr>
              <w:t>up to and including 10 percent are eligible for Donation/return</w:t>
            </w:r>
            <w:r w:rsidRPr="00B73D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B73D4C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purposes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of</w:t>
            </w:r>
          </w:p>
          <w:p w14:paraId="0C7FBF5D" w14:textId="77777777" w:rsidR="004C6897" w:rsidRPr="005E3CA1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B73D4C">
              <w:rPr>
                <w:b/>
                <w:bCs/>
              </w:rPr>
              <w:t>his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provision,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TN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</w:t>
            </w:r>
            <w:r w:rsidRPr="00B73D4C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a</w:t>
            </w:r>
            <w:r w:rsidRPr="005E3CA1">
              <w:rPr>
                <w:b/>
                <w:bCs/>
              </w:rPr>
              <w:t>vailable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a</w:t>
            </w:r>
            <w:r w:rsidRPr="005E3CA1">
              <w:rPr>
                <w:b/>
                <w:bCs/>
              </w:rPr>
              <w:t>ssignment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proofErr w:type="gramStart"/>
            <w:r w:rsidRPr="005E3CA1">
              <w:rPr>
                <w:b/>
                <w:bCs/>
              </w:rPr>
              <w:t>it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1BDD188C" w14:textId="77777777" w:rsidR="004C6897" w:rsidRPr="00C273A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5E3CA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classified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Administrative,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Aging,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Assigned,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Intermediate,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reserved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</w:t>
            </w:r>
            <w:r w:rsidRPr="005E3CA1">
              <w:rPr>
                <w:b/>
                <w:bCs/>
              </w:rPr>
              <w:t>defined</w:t>
            </w:r>
            <w:r>
              <w:rPr>
                <w:b/>
                <w:bCs/>
              </w:rPr>
              <w:t xml:space="preserve"> in </w:t>
            </w:r>
            <w:r w:rsidRPr="004E433E">
              <w:rPr>
                <w:b/>
                <w:bCs/>
                <w:highlight w:val="yellow"/>
              </w:rPr>
              <w:t>…</w:t>
            </w:r>
          </w:p>
        </w:tc>
      </w:tr>
      <w:tr w:rsidR="004C6897" w14:paraId="5078A66E" w14:textId="77777777" w:rsidTr="009F24BA">
        <w:tc>
          <w:tcPr>
            <w:tcW w:w="2689" w:type="dxa"/>
          </w:tcPr>
          <w:p w14:paraId="7A17DBCC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Donation</w:t>
            </w:r>
          </w:p>
        </w:tc>
        <w:tc>
          <w:tcPr>
            <w:tcW w:w="6661" w:type="dxa"/>
          </w:tcPr>
          <w:p w14:paraId="00582463" w14:textId="77777777" w:rsidR="004C6897" w:rsidRPr="00B73D4C" w:rsidRDefault="004C6897" w:rsidP="009F24BA">
            <w:pPr>
              <w:rPr>
                <w:b/>
                <w:bCs/>
              </w:rPr>
            </w:pPr>
            <w:r w:rsidRPr="00005A96">
              <w:rPr>
                <w:b/>
                <w:bCs/>
              </w:rPr>
              <w:t>The process by which Service Providers (SP) are required to contribute Telephone</w:t>
            </w:r>
            <w:r>
              <w:rPr>
                <w:b/>
                <w:bCs/>
              </w:rPr>
              <w:t xml:space="preserve"> </w:t>
            </w:r>
            <w:r w:rsidRPr="00005A96">
              <w:rPr>
                <w:b/>
                <w:bCs/>
              </w:rPr>
              <w:t>Numbers (TN) to a</w:t>
            </w:r>
            <w:r>
              <w:rPr>
                <w:b/>
                <w:bCs/>
              </w:rPr>
              <w:t>n Exchange Area Pool</w:t>
            </w:r>
            <w:r w:rsidRPr="00005A96">
              <w:rPr>
                <w:b/>
                <w:bCs/>
              </w:rPr>
              <w:t>.  In the context of</w:t>
            </w:r>
            <w:r>
              <w:rPr>
                <w:b/>
                <w:bCs/>
              </w:rPr>
              <w:t xml:space="preserve"> </w:t>
            </w:r>
            <w:r w:rsidRPr="00005A96">
              <w:rPr>
                <w:b/>
                <w:bCs/>
              </w:rPr>
              <w:t>these guidelines, SPs shall use the Thousands-Block (NPA-NXX-X) return/disconnect</w:t>
            </w:r>
            <w:r>
              <w:rPr>
                <w:b/>
                <w:bCs/>
              </w:rPr>
              <w:t xml:space="preserve"> </w:t>
            </w:r>
            <w:r w:rsidRPr="00005A96">
              <w:rPr>
                <w:b/>
                <w:bCs/>
              </w:rPr>
              <w:t xml:space="preserve">process to donate/return Thousands-Blocks to the </w:t>
            </w:r>
            <w:r>
              <w:rPr>
                <w:b/>
                <w:bCs/>
              </w:rPr>
              <w:t>Exchange Area Pool</w:t>
            </w:r>
            <w:r w:rsidRPr="00005A96">
              <w:rPr>
                <w:b/>
                <w:bCs/>
              </w:rPr>
              <w:t>.</w:t>
            </w:r>
          </w:p>
        </w:tc>
      </w:tr>
      <w:tr w:rsidR="004C6897" w14:paraId="28F9AE3E" w14:textId="77777777" w:rsidTr="009F24BA">
        <w:tc>
          <w:tcPr>
            <w:tcW w:w="2689" w:type="dxa"/>
          </w:tcPr>
          <w:p w14:paraId="3F95BA35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Exchange Area</w:t>
            </w:r>
          </w:p>
        </w:tc>
        <w:tc>
          <w:tcPr>
            <w:tcW w:w="6661" w:type="dxa"/>
          </w:tcPr>
          <w:p w14:paraId="6E1548DC" w14:textId="77777777" w:rsidR="004C6897" w:rsidRPr="00BC5093" w:rsidRDefault="004C6897" w:rsidP="009F24BA">
            <w:pPr>
              <w:rPr>
                <w:b/>
                <w:bCs/>
              </w:rPr>
            </w:pPr>
            <w:r w:rsidRPr="00BC5093">
              <w:rPr>
                <w:b/>
                <w:bCs/>
              </w:rPr>
              <w:t xml:space="preserve">Tariffed (historically) </w:t>
            </w:r>
            <w:r>
              <w:rPr>
                <w:b/>
                <w:bCs/>
              </w:rPr>
              <w:t>pursuant to CRTC approved tariffs</w:t>
            </w:r>
            <w:r w:rsidRPr="00BC5093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corresponds to an area </w:t>
            </w:r>
            <w:r w:rsidRPr="00BC5093">
              <w:rPr>
                <w:b/>
                <w:bCs/>
              </w:rPr>
              <w:t>served by an Incumbent Local</w:t>
            </w:r>
          </w:p>
          <w:p w14:paraId="4199164F" w14:textId="77777777" w:rsidR="004C6897" w:rsidRPr="00C273A7" w:rsidRDefault="004C6897" w:rsidP="009F24BA">
            <w:pPr>
              <w:rPr>
                <w:b/>
                <w:bCs/>
              </w:rPr>
            </w:pPr>
            <w:r w:rsidRPr="00BC5093">
              <w:rPr>
                <w:b/>
                <w:bCs/>
              </w:rPr>
              <w:t>Exchange Carrier (ILEC).  The term Exchange</w:t>
            </w:r>
            <w:r>
              <w:rPr>
                <w:b/>
                <w:bCs/>
              </w:rPr>
              <w:t xml:space="preserve"> </w:t>
            </w:r>
            <w:r w:rsidRPr="00BC5093">
              <w:rPr>
                <w:b/>
                <w:bCs/>
              </w:rPr>
              <w:t>Area is often used interchangeably with the term Rate Center</w:t>
            </w:r>
            <w:r>
              <w:rPr>
                <w:b/>
                <w:bCs/>
              </w:rPr>
              <w:t xml:space="preserve"> and there is a one-to-one mapping</w:t>
            </w:r>
            <w:r w:rsidRPr="00BC5093">
              <w:rPr>
                <w:b/>
                <w:bCs/>
              </w:rPr>
              <w:t>.</w:t>
            </w:r>
          </w:p>
        </w:tc>
      </w:tr>
      <w:tr w:rsidR="004C6897" w14:paraId="79F6337B" w14:textId="77777777" w:rsidTr="009F24BA">
        <w:tc>
          <w:tcPr>
            <w:tcW w:w="2689" w:type="dxa"/>
          </w:tcPr>
          <w:p w14:paraId="0D9E3653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Exchange Area Number Pool</w:t>
            </w:r>
          </w:p>
        </w:tc>
        <w:tc>
          <w:tcPr>
            <w:tcW w:w="6661" w:type="dxa"/>
          </w:tcPr>
          <w:p w14:paraId="0996D1AB" w14:textId="77777777" w:rsidR="004C6897" w:rsidRDefault="004C6897" w:rsidP="009F24BA">
            <w:pPr>
              <w:rPr>
                <w:b/>
                <w:bCs/>
              </w:rPr>
            </w:pPr>
            <w:r w:rsidRPr="00C273A7">
              <w:rPr>
                <w:b/>
                <w:bCs/>
              </w:rPr>
              <w:t xml:space="preserve">Used in Thousands-Block </w:t>
            </w:r>
            <w:r>
              <w:rPr>
                <w:b/>
                <w:bCs/>
              </w:rPr>
              <w:t>N</w:t>
            </w:r>
            <w:r w:rsidRPr="00C273A7">
              <w:rPr>
                <w:b/>
                <w:bCs/>
              </w:rPr>
              <w:t xml:space="preserve">umber </w:t>
            </w:r>
            <w:r>
              <w:rPr>
                <w:b/>
                <w:bCs/>
              </w:rPr>
              <w:t>P</w:t>
            </w:r>
            <w:r w:rsidRPr="00C273A7">
              <w:rPr>
                <w:b/>
                <w:bCs/>
              </w:rPr>
              <w:t>ooling to describe a reservoir of un-Allocated</w:t>
            </w:r>
            <w:r>
              <w:rPr>
                <w:b/>
                <w:bCs/>
              </w:rPr>
              <w:t xml:space="preserve"> </w:t>
            </w:r>
            <w:r w:rsidRPr="00C273A7">
              <w:rPr>
                <w:b/>
                <w:bCs/>
              </w:rPr>
              <w:t>Thousands-Blocks (NPA-NXX-X)</w:t>
            </w:r>
            <w:r>
              <w:rPr>
                <w:b/>
                <w:bCs/>
              </w:rPr>
              <w:t xml:space="preserve"> in an Exchange Area</w:t>
            </w:r>
            <w:r w:rsidRPr="00C273A7">
              <w:rPr>
                <w:b/>
                <w:bCs/>
              </w:rPr>
              <w:t xml:space="preserve"> administered by the Pooling Administrator (PA) for</w:t>
            </w:r>
            <w:r>
              <w:rPr>
                <w:b/>
                <w:bCs/>
              </w:rPr>
              <w:t xml:space="preserve"> </w:t>
            </w:r>
            <w:r w:rsidRPr="00C273A7">
              <w:rPr>
                <w:b/>
                <w:bCs/>
              </w:rPr>
              <w:t>purposes of assignment to Service Providers (SP) participating in Thousands-Block</w:t>
            </w:r>
            <w:r>
              <w:rPr>
                <w:b/>
                <w:bCs/>
              </w:rPr>
              <w:t xml:space="preserve"> </w:t>
            </w:r>
            <w:r w:rsidRPr="00C273A7">
              <w:rPr>
                <w:b/>
                <w:bCs/>
              </w:rPr>
              <w:t>Number Pooling.</w:t>
            </w:r>
          </w:p>
        </w:tc>
      </w:tr>
      <w:tr w:rsidR="004C6897" w14:paraId="6452AACB" w14:textId="77777777" w:rsidTr="009F24BA">
        <w:tc>
          <w:tcPr>
            <w:tcW w:w="2689" w:type="dxa"/>
          </w:tcPr>
          <w:p w14:paraId="7521F5E2" w14:textId="77777777" w:rsidR="004C6897" w:rsidRPr="00EB699F" w:rsidRDefault="004C6897" w:rsidP="009F24BA">
            <w:pPr>
              <w:rPr>
                <w:b/>
                <w:bCs/>
              </w:rPr>
            </w:pPr>
            <w:r w:rsidRPr="00EB699F">
              <w:rPr>
                <w:b/>
                <w:bCs/>
              </w:rPr>
              <w:t>Growth Block/CO</w:t>
            </w:r>
          </w:p>
          <w:p w14:paraId="32E2D736" w14:textId="77777777" w:rsidR="004C6897" w:rsidRDefault="004C6897" w:rsidP="009F24BA">
            <w:pPr>
              <w:rPr>
                <w:b/>
                <w:bCs/>
              </w:rPr>
            </w:pPr>
            <w:r w:rsidRPr="00EB699F">
              <w:rPr>
                <w:b/>
                <w:bCs/>
              </w:rPr>
              <w:t>Code/Numbering Resource</w:t>
            </w:r>
          </w:p>
        </w:tc>
        <w:tc>
          <w:tcPr>
            <w:tcW w:w="6661" w:type="dxa"/>
          </w:tcPr>
          <w:p w14:paraId="4367130D" w14:textId="77777777" w:rsidR="004C6897" w:rsidRPr="00C273A7" w:rsidRDefault="004C6897" w:rsidP="009F24BA">
            <w:pPr>
              <w:rPr>
                <w:b/>
                <w:bCs/>
              </w:rPr>
            </w:pPr>
            <w:r w:rsidRPr="00F45105"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n</w:t>
            </w:r>
            <w:r w:rsidRPr="00F45105">
              <w:rPr>
                <w:b/>
                <w:bCs/>
              </w:rPr>
              <w:t xml:space="preserve">umbering </w:t>
            </w:r>
            <w:r>
              <w:rPr>
                <w:b/>
                <w:bCs/>
              </w:rPr>
              <w:t>r</w:t>
            </w:r>
            <w:r w:rsidRPr="00F45105">
              <w:rPr>
                <w:b/>
                <w:bCs/>
              </w:rPr>
              <w:t xml:space="preserve">esource(s) </w:t>
            </w:r>
            <w:r>
              <w:rPr>
                <w:b/>
                <w:bCs/>
              </w:rPr>
              <w:t>a</w:t>
            </w:r>
            <w:r w:rsidRPr="00F45105">
              <w:rPr>
                <w:b/>
                <w:bCs/>
              </w:rPr>
              <w:t>ssigned to an Operating Company Number (OCN)</w:t>
            </w:r>
            <w:r>
              <w:rPr>
                <w:b/>
                <w:bCs/>
              </w:rPr>
              <w:t xml:space="preserve"> </w:t>
            </w:r>
            <w:r w:rsidRPr="00F45105">
              <w:rPr>
                <w:b/>
                <w:bCs/>
              </w:rPr>
              <w:t xml:space="preserve">where the OCN already has a </w:t>
            </w:r>
            <w:r>
              <w:rPr>
                <w:b/>
                <w:bCs/>
              </w:rPr>
              <w:t>n</w:t>
            </w:r>
            <w:r w:rsidRPr="00F45105">
              <w:rPr>
                <w:b/>
                <w:bCs/>
              </w:rPr>
              <w:t xml:space="preserve">umbering </w:t>
            </w:r>
            <w:r>
              <w:rPr>
                <w:b/>
                <w:bCs/>
              </w:rPr>
              <w:t>r</w:t>
            </w:r>
            <w:r w:rsidRPr="00F45105">
              <w:rPr>
                <w:b/>
                <w:bCs/>
              </w:rPr>
              <w:t xml:space="preserve">esource(s) in that same </w:t>
            </w:r>
            <w:r>
              <w:rPr>
                <w:b/>
                <w:bCs/>
              </w:rPr>
              <w:t>Exchange Area</w:t>
            </w:r>
            <w:r w:rsidRPr="00F45105">
              <w:rPr>
                <w:b/>
                <w:bCs/>
              </w:rPr>
              <w:t>. A</w:t>
            </w:r>
            <w:r>
              <w:rPr>
                <w:b/>
                <w:bCs/>
              </w:rPr>
              <w:t xml:space="preserve"> </w:t>
            </w:r>
            <w:r w:rsidRPr="00F45105">
              <w:rPr>
                <w:b/>
                <w:bCs/>
              </w:rPr>
              <w:t>Growth Block/CO Code/Numbering Resource is requested by an OCN when the</w:t>
            </w:r>
            <w:r>
              <w:rPr>
                <w:b/>
                <w:bCs/>
              </w:rPr>
              <w:t xml:space="preserve"> </w:t>
            </w:r>
            <w:r w:rsidRPr="00F45105">
              <w:rPr>
                <w:b/>
                <w:bCs/>
              </w:rPr>
              <w:t xml:space="preserve">Telephone Numbers (TN) </w:t>
            </w:r>
            <w:r>
              <w:rPr>
                <w:b/>
                <w:bCs/>
              </w:rPr>
              <w:t>a</w:t>
            </w:r>
            <w:r w:rsidRPr="00F45105">
              <w:rPr>
                <w:b/>
                <w:bCs/>
              </w:rPr>
              <w:t xml:space="preserve">vailable for </w:t>
            </w:r>
            <w:r>
              <w:rPr>
                <w:b/>
                <w:bCs/>
              </w:rPr>
              <w:t>a</w:t>
            </w:r>
            <w:r w:rsidRPr="00F45105">
              <w:rPr>
                <w:b/>
                <w:bCs/>
              </w:rPr>
              <w:t xml:space="preserve">ssignment in a previously </w:t>
            </w:r>
            <w:r>
              <w:rPr>
                <w:b/>
                <w:bCs/>
              </w:rPr>
              <w:t>a</w:t>
            </w:r>
            <w:r w:rsidRPr="00F45105">
              <w:rPr>
                <w:b/>
                <w:bCs/>
              </w:rPr>
              <w:t xml:space="preserve">ssigned </w:t>
            </w:r>
            <w:r>
              <w:rPr>
                <w:b/>
                <w:bCs/>
              </w:rPr>
              <w:t>a n</w:t>
            </w:r>
            <w:r w:rsidRPr="00F45105">
              <w:rPr>
                <w:b/>
                <w:bCs/>
              </w:rPr>
              <w:t>umber</w:t>
            </w:r>
            <w:r>
              <w:rPr>
                <w:b/>
                <w:bCs/>
              </w:rPr>
              <w:t xml:space="preserve"> r</w:t>
            </w:r>
            <w:r w:rsidRPr="00F45105">
              <w:rPr>
                <w:b/>
                <w:bCs/>
              </w:rPr>
              <w:t xml:space="preserve">esource(s) in the </w:t>
            </w:r>
            <w:r>
              <w:rPr>
                <w:b/>
                <w:bCs/>
              </w:rPr>
              <w:t>Exchange Area</w:t>
            </w:r>
            <w:r w:rsidRPr="00F45105">
              <w:rPr>
                <w:b/>
                <w:bCs/>
              </w:rPr>
              <w:t xml:space="preserve"> shall not meet expected demand.</w:t>
            </w:r>
          </w:p>
        </w:tc>
      </w:tr>
      <w:tr w:rsidR="004C6897" w14:paraId="7EED5D43" w14:textId="77777777" w:rsidTr="009F24BA">
        <w:tc>
          <w:tcPr>
            <w:tcW w:w="2689" w:type="dxa"/>
          </w:tcPr>
          <w:p w14:paraId="526F1C1D" w14:textId="77777777" w:rsidR="004C6897" w:rsidRPr="004607E6" w:rsidRDefault="004C6897" w:rsidP="009F24BA">
            <w:pPr>
              <w:rPr>
                <w:b/>
                <w:bCs/>
              </w:rPr>
            </w:pPr>
            <w:r w:rsidRPr="004607E6">
              <w:rPr>
                <w:b/>
                <w:bCs/>
              </w:rPr>
              <w:t>Initial</w:t>
            </w:r>
          </w:p>
          <w:p w14:paraId="0B9673BB" w14:textId="77777777" w:rsidR="004C6897" w:rsidRPr="004607E6" w:rsidRDefault="004C6897" w:rsidP="009F24BA">
            <w:pPr>
              <w:rPr>
                <w:b/>
                <w:bCs/>
              </w:rPr>
            </w:pPr>
            <w:r w:rsidRPr="004607E6">
              <w:rPr>
                <w:b/>
                <w:bCs/>
              </w:rPr>
              <w:t>Block/Code/Numbering</w:t>
            </w:r>
          </w:p>
          <w:p w14:paraId="25E295B1" w14:textId="77777777" w:rsidR="004C6897" w:rsidRPr="00EB699F" w:rsidRDefault="004C6897" w:rsidP="009F24BA">
            <w:pPr>
              <w:rPr>
                <w:b/>
                <w:bCs/>
              </w:rPr>
            </w:pPr>
            <w:r w:rsidRPr="004607E6">
              <w:rPr>
                <w:b/>
                <w:bCs/>
              </w:rPr>
              <w:t>Resource</w:t>
            </w:r>
          </w:p>
        </w:tc>
        <w:tc>
          <w:tcPr>
            <w:tcW w:w="6661" w:type="dxa"/>
          </w:tcPr>
          <w:p w14:paraId="00956918" w14:textId="77777777" w:rsidR="004C6897" w:rsidRPr="00F45105" w:rsidRDefault="004C6897" w:rsidP="009F24BA">
            <w:pPr>
              <w:rPr>
                <w:b/>
                <w:bCs/>
              </w:rPr>
            </w:pPr>
            <w:r w:rsidRPr="00A14B77">
              <w:rPr>
                <w:b/>
                <w:bCs/>
              </w:rPr>
              <w:t>The first geographic Numbering Resource Assigned to an Operating Company Number</w:t>
            </w:r>
            <w:r>
              <w:rPr>
                <w:b/>
                <w:bCs/>
              </w:rPr>
              <w:t xml:space="preserve"> </w:t>
            </w:r>
            <w:r w:rsidRPr="00A14B77">
              <w:rPr>
                <w:b/>
                <w:bCs/>
              </w:rPr>
              <w:t>(OCN) in a</w:t>
            </w:r>
            <w:r>
              <w:rPr>
                <w:b/>
                <w:bCs/>
              </w:rPr>
              <w:t xml:space="preserve">n Exchange Area </w:t>
            </w:r>
            <w:r w:rsidRPr="00A14B77">
              <w:rPr>
                <w:b/>
                <w:bCs/>
              </w:rPr>
              <w:t>where the OCN has no other Assigned or retained Number</w:t>
            </w:r>
            <w:r>
              <w:rPr>
                <w:b/>
                <w:bCs/>
              </w:rPr>
              <w:t xml:space="preserve"> </w:t>
            </w:r>
            <w:r w:rsidRPr="00A14B77">
              <w:rPr>
                <w:b/>
                <w:bCs/>
              </w:rPr>
              <w:t xml:space="preserve">Resources in the </w:t>
            </w:r>
            <w:r>
              <w:rPr>
                <w:b/>
                <w:bCs/>
              </w:rPr>
              <w:t>Exchange Area</w:t>
            </w:r>
            <w:r w:rsidRPr="00A14B77">
              <w:rPr>
                <w:b/>
                <w:bCs/>
              </w:rPr>
              <w:t>.</w:t>
            </w:r>
          </w:p>
        </w:tc>
      </w:tr>
      <w:tr w:rsidR="004C6897" w14:paraId="09E4D7CE" w14:textId="77777777" w:rsidTr="009F24BA">
        <w:tc>
          <w:tcPr>
            <w:tcW w:w="2689" w:type="dxa"/>
          </w:tcPr>
          <w:p w14:paraId="731FBF3C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Intra-Service Provider (ISP) Port</w:t>
            </w:r>
          </w:p>
        </w:tc>
        <w:tc>
          <w:tcPr>
            <w:tcW w:w="6661" w:type="dxa"/>
          </w:tcPr>
          <w:p w14:paraId="23F85BC2" w14:textId="77777777" w:rsidR="004C6897" w:rsidRDefault="004C6897" w:rsidP="009F24BA">
            <w:pPr>
              <w:rPr>
                <w:b/>
                <w:bCs/>
              </w:rPr>
            </w:pPr>
            <w:r w:rsidRPr="0059476A">
              <w:rPr>
                <w:b/>
                <w:bCs/>
              </w:rPr>
              <w:t>A process which allows a Service Provider (SP) to retain unavailable Telephone Numbers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 xml:space="preserve">(TN) in contaminated </w:t>
            </w:r>
            <w:r w:rsidRPr="0059476A">
              <w:rPr>
                <w:b/>
                <w:bCs/>
              </w:rPr>
              <w:lastRenderedPageBreak/>
              <w:t>Thousands-Blocks (NPA-NXX-X) that are being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donated/returned to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 xml:space="preserve">an </w:t>
            </w:r>
            <w:r>
              <w:rPr>
                <w:b/>
                <w:bCs/>
              </w:rPr>
              <w:t>Exchange Area Number Pool</w:t>
            </w:r>
            <w:r w:rsidRPr="0059476A">
              <w:rPr>
                <w:b/>
                <w:bCs/>
              </w:rPr>
              <w:t xml:space="preserve">.  Specifically, numbers </w:t>
            </w:r>
            <w:r>
              <w:rPr>
                <w:b/>
                <w:bCs/>
              </w:rPr>
              <w:t>a</w:t>
            </w:r>
            <w:r w:rsidRPr="0059476A">
              <w:rPr>
                <w:b/>
                <w:bCs/>
              </w:rPr>
              <w:t>ssigned to customers from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donated/returned Thousands-Blocks that are contaminated shall be ported back to the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donating/returning SP to enable it to continue to provide service to those customers.  An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ISP Port can also be used to move a TN(s) from one Switching Entity/Point of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Interconnection (POI) serving a</w:t>
            </w:r>
            <w:r>
              <w:rPr>
                <w:b/>
                <w:bCs/>
              </w:rPr>
              <w:t xml:space="preserve">n Exchange Area </w:t>
            </w:r>
            <w:r w:rsidRPr="0059476A">
              <w:rPr>
                <w:b/>
                <w:bCs/>
              </w:rPr>
              <w:t>to another Switching Entity/POI serving the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 xml:space="preserve">same </w:t>
            </w:r>
            <w:r>
              <w:rPr>
                <w:b/>
                <w:bCs/>
              </w:rPr>
              <w:t>Exchange Area</w:t>
            </w:r>
            <w:r w:rsidRPr="0059476A">
              <w:rPr>
                <w:b/>
                <w:bCs/>
              </w:rPr>
              <w:t xml:space="preserve"> where Location Routing Number (LRN)-Local Number Portability</w:t>
            </w:r>
            <w:r>
              <w:rPr>
                <w:b/>
                <w:bCs/>
              </w:rPr>
              <w:t xml:space="preserve"> </w:t>
            </w:r>
            <w:r w:rsidRPr="0059476A">
              <w:rPr>
                <w:b/>
                <w:bCs/>
              </w:rPr>
              <w:t>(LNP) is in use.</w:t>
            </w:r>
          </w:p>
        </w:tc>
      </w:tr>
      <w:tr w:rsidR="004C6897" w14:paraId="3A344DEC" w14:textId="77777777" w:rsidTr="009F24BA">
        <w:tc>
          <w:tcPr>
            <w:tcW w:w="2689" w:type="dxa"/>
          </w:tcPr>
          <w:p w14:paraId="2B37A166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Local Number Portability (LNP)</w:t>
            </w:r>
          </w:p>
        </w:tc>
        <w:tc>
          <w:tcPr>
            <w:tcW w:w="6661" w:type="dxa"/>
          </w:tcPr>
          <w:p w14:paraId="10379C4D" w14:textId="77777777" w:rsidR="004C6897" w:rsidRPr="00BB3C78" w:rsidRDefault="004C6897" w:rsidP="009F24BA">
            <w:pPr>
              <w:rPr>
                <w:b/>
                <w:bCs/>
              </w:rPr>
            </w:pPr>
            <w:r w:rsidRPr="00BB3C78">
              <w:rPr>
                <w:b/>
                <w:bCs/>
              </w:rPr>
              <w:t>The ability of users of telecommunications services to retain, at the same location,</w:t>
            </w:r>
            <w:r>
              <w:rPr>
                <w:b/>
                <w:bCs/>
              </w:rPr>
              <w:t xml:space="preserve"> </w:t>
            </w:r>
            <w:r w:rsidRPr="00BB3C78">
              <w:rPr>
                <w:b/>
                <w:bCs/>
              </w:rPr>
              <w:t>existing telecommunications numbers without impairment of quality, reliability, or</w:t>
            </w:r>
          </w:p>
          <w:p w14:paraId="4073EC12" w14:textId="77777777" w:rsidR="004C6897" w:rsidRPr="00124B43" w:rsidRDefault="004C6897" w:rsidP="009F24BA">
            <w:pPr>
              <w:rPr>
                <w:b/>
                <w:bCs/>
              </w:rPr>
            </w:pPr>
            <w:r w:rsidRPr="00BB3C78">
              <w:rPr>
                <w:b/>
                <w:bCs/>
              </w:rPr>
              <w:t xml:space="preserve">convenience when switching from one </w:t>
            </w:r>
            <w:r>
              <w:rPr>
                <w:b/>
                <w:bCs/>
              </w:rPr>
              <w:t>t</w:t>
            </w:r>
            <w:r w:rsidRPr="00BB3C78">
              <w:rPr>
                <w:b/>
                <w:bCs/>
              </w:rPr>
              <w:t>elecommunications Carrier to another.</w:t>
            </w:r>
          </w:p>
        </w:tc>
      </w:tr>
      <w:tr w:rsidR="004C6897" w14:paraId="6D40AE31" w14:textId="77777777" w:rsidTr="009F24BA">
        <w:tc>
          <w:tcPr>
            <w:tcW w:w="2689" w:type="dxa"/>
          </w:tcPr>
          <w:p w14:paraId="039E3958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Local Routing Number (LRN)</w:t>
            </w:r>
          </w:p>
        </w:tc>
        <w:tc>
          <w:tcPr>
            <w:tcW w:w="6661" w:type="dxa"/>
          </w:tcPr>
          <w:p w14:paraId="680A99F1" w14:textId="77777777" w:rsidR="004C6897" w:rsidRPr="00124B43" w:rsidRDefault="004C6897" w:rsidP="009F24BA">
            <w:pPr>
              <w:rPr>
                <w:b/>
                <w:bCs/>
              </w:rPr>
            </w:pPr>
            <w:r w:rsidRPr="00124B43">
              <w:rPr>
                <w:b/>
                <w:bCs/>
              </w:rPr>
              <w:t>A 10-digit (NPA-NXX-XXXX) number Assigned to a Switching Entity/Point of</w:t>
            </w:r>
            <w:r>
              <w:rPr>
                <w:b/>
                <w:bCs/>
              </w:rPr>
              <w:t xml:space="preserve"> </w:t>
            </w:r>
            <w:r w:rsidRPr="00124B43">
              <w:rPr>
                <w:b/>
                <w:bCs/>
              </w:rPr>
              <w:t xml:space="preserve">Interconnection (POI) by a CO Code Holder to a Switching Entity/POI for routing </w:t>
            </w:r>
            <w:proofErr w:type="gramStart"/>
            <w:r w:rsidRPr="00124B43">
              <w:rPr>
                <w:b/>
                <w:bCs/>
              </w:rPr>
              <w:t>Local</w:t>
            </w:r>
            <w:proofErr w:type="gramEnd"/>
          </w:p>
          <w:p w14:paraId="79C09C7F" w14:textId="77777777" w:rsidR="004C6897" w:rsidRPr="0059476A" w:rsidRDefault="004C6897" w:rsidP="009F24BA">
            <w:pPr>
              <w:rPr>
                <w:b/>
                <w:bCs/>
              </w:rPr>
            </w:pPr>
            <w:r w:rsidRPr="00124B43">
              <w:rPr>
                <w:b/>
                <w:bCs/>
              </w:rPr>
              <w:t>Number Portability (LNP) Ported Telephone Numbers (TN) in a Local Number Portability</w:t>
            </w:r>
            <w:r>
              <w:rPr>
                <w:b/>
                <w:bCs/>
              </w:rPr>
              <w:t xml:space="preserve"> </w:t>
            </w:r>
            <w:r w:rsidRPr="00124B43">
              <w:rPr>
                <w:b/>
                <w:bCs/>
              </w:rPr>
              <w:t>(LNP) environment.</w:t>
            </w:r>
          </w:p>
        </w:tc>
      </w:tr>
      <w:tr w:rsidR="004C6897" w14:paraId="1CE15270" w14:textId="77777777" w:rsidTr="009F24BA">
        <w:tc>
          <w:tcPr>
            <w:tcW w:w="2689" w:type="dxa"/>
          </w:tcPr>
          <w:p w14:paraId="656789F4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Pooling Administrator (PA)</w:t>
            </w:r>
          </w:p>
        </w:tc>
        <w:tc>
          <w:tcPr>
            <w:tcW w:w="6661" w:type="dxa"/>
          </w:tcPr>
          <w:p w14:paraId="50245518" w14:textId="77777777" w:rsidR="004C6897" w:rsidRDefault="004C6897" w:rsidP="009F24BA">
            <w:pPr>
              <w:rPr>
                <w:b/>
                <w:bCs/>
              </w:rPr>
            </w:pPr>
            <w:r w:rsidRPr="00052375">
              <w:rPr>
                <w:b/>
                <w:bCs/>
              </w:rPr>
              <w:t xml:space="preserve">Refers to the entity responsible for administering </w:t>
            </w:r>
            <w:r>
              <w:rPr>
                <w:b/>
                <w:bCs/>
              </w:rPr>
              <w:t xml:space="preserve">Exchange Area Number </w:t>
            </w:r>
            <w:r w:rsidRPr="00052375">
              <w:rPr>
                <w:b/>
                <w:bCs/>
              </w:rPr>
              <w:t>Pool</w:t>
            </w:r>
            <w:r>
              <w:rPr>
                <w:b/>
                <w:bCs/>
              </w:rPr>
              <w:t>s.</w:t>
            </w:r>
          </w:p>
        </w:tc>
      </w:tr>
      <w:tr w:rsidR="004C6897" w14:paraId="1ADB70E9" w14:textId="77777777" w:rsidTr="009F24BA">
        <w:tc>
          <w:tcPr>
            <w:tcW w:w="2689" w:type="dxa"/>
          </w:tcPr>
          <w:p w14:paraId="0B244891" w14:textId="77777777" w:rsidR="004C6897" w:rsidRDefault="004C6897" w:rsidP="009F24BA">
            <w:pPr>
              <w:rPr>
                <w:b/>
                <w:bCs/>
              </w:rPr>
            </w:pPr>
            <w:r w:rsidRPr="00D15FA1">
              <w:rPr>
                <w:b/>
                <w:bCs/>
              </w:rPr>
              <w:t>Number Portability Administration Center (NPAC)</w:t>
            </w:r>
          </w:p>
        </w:tc>
        <w:tc>
          <w:tcPr>
            <w:tcW w:w="6661" w:type="dxa"/>
          </w:tcPr>
          <w:p w14:paraId="0A0086CB" w14:textId="77777777" w:rsidR="004C6897" w:rsidRPr="00D15FA1" w:rsidRDefault="004C6897" w:rsidP="009F24BA">
            <w:pPr>
              <w:rPr>
                <w:b/>
                <w:bCs/>
              </w:rPr>
            </w:pPr>
            <w:r w:rsidRPr="00D15FA1">
              <w:rPr>
                <w:b/>
                <w:bCs/>
              </w:rPr>
              <w:t>The database that contains routing information on ported Telephone Numbers (TN) and</w:t>
            </w:r>
            <w:r>
              <w:rPr>
                <w:b/>
                <w:bCs/>
              </w:rPr>
              <w:t xml:space="preserve"> </w:t>
            </w:r>
            <w:r w:rsidRPr="00D15FA1">
              <w:rPr>
                <w:b/>
                <w:bCs/>
              </w:rPr>
              <w:t>Thousands-Block Number Pooled Thousands-Blocks (NPA-NXX-X) and facilitates the</w:t>
            </w:r>
          </w:p>
          <w:p w14:paraId="513FE25A" w14:textId="77777777" w:rsidR="004C6897" w:rsidRDefault="004C6897" w:rsidP="009F24BA">
            <w:pPr>
              <w:rPr>
                <w:b/>
                <w:bCs/>
              </w:rPr>
            </w:pPr>
            <w:r w:rsidRPr="00D15FA1">
              <w:rPr>
                <w:b/>
                <w:bCs/>
              </w:rPr>
              <w:t>updating of the routing databases of all subtending Service Providers (SP) in the</w:t>
            </w:r>
            <w:r>
              <w:rPr>
                <w:b/>
                <w:bCs/>
              </w:rPr>
              <w:t xml:space="preserve"> </w:t>
            </w:r>
            <w:r w:rsidRPr="00D15FA1">
              <w:rPr>
                <w:b/>
                <w:bCs/>
              </w:rPr>
              <w:t>portability area. Also called the Number Portability Administration Center (NPAC) Service</w:t>
            </w:r>
            <w:r>
              <w:rPr>
                <w:b/>
                <w:bCs/>
              </w:rPr>
              <w:t xml:space="preserve"> </w:t>
            </w:r>
            <w:r w:rsidRPr="00D15FA1">
              <w:rPr>
                <w:b/>
                <w:bCs/>
              </w:rPr>
              <w:t>Management System (SMS)</w:t>
            </w:r>
          </w:p>
        </w:tc>
      </w:tr>
      <w:tr w:rsidR="004C6897" w14:paraId="09CA0771" w14:textId="77777777" w:rsidTr="009F24BA">
        <w:tc>
          <w:tcPr>
            <w:tcW w:w="2689" w:type="dxa"/>
          </w:tcPr>
          <w:p w14:paraId="6F8768CB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Thousands-Block</w:t>
            </w:r>
          </w:p>
        </w:tc>
        <w:tc>
          <w:tcPr>
            <w:tcW w:w="6661" w:type="dxa"/>
          </w:tcPr>
          <w:p w14:paraId="38CC1EE5" w14:textId="77777777" w:rsidR="004C6897" w:rsidRPr="009A4751" w:rsidRDefault="004C6897" w:rsidP="009F24BA">
            <w:pPr>
              <w:rPr>
                <w:b/>
                <w:bCs/>
              </w:rPr>
            </w:pPr>
            <w:r w:rsidRPr="00EE4068">
              <w:rPr>
                <w:b/>
                <w:bCs/>
              </w:rPr>
              <w:t>A range of one thousand Telephone Numbers (TN) within a Central Office (CO) Code</w:t>
            </w:r>
            <w:r>
              <w:rPr>
                <w:b/>
                <w:bCs/>
              </w:rPr>
              <w:t xml:space="preserve"> </w:t>
            </w:r>
            <w:r w:rsidRPr="00EE4068">
              <w:rPr>
                <w:b/>
                <w:bCs/>
              </w:rPr>
              <w:t>(NPA-NXX) beginning with X000 and ending with X999, where X is a value from 0 to 9.</w:t>
            </w:r>
          </w:p>
        </w:tc>
      </w:tr>
      <w:tr w:rsidR="004C6897" w14:paraId="27DDB6CE" w14:textId="77777777" w:rsidTr="009F24BA">
        <w:tc>
          <w:tcPr>
            <w:tcW w:w="2689" w:type="dxa"/>
          </w:tcPr>
          <w:p w14:paraId="268C4222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Thousands-Block Number Pooling</w:t>
            </w:r>
          </w:p>
        </w:tc>
        <w:tc>
          <w:tcPr>
            <w:tcW w:w="6661" w:type="dxa"/>
          </w:tcPr>
          <w:p w14:paraId="6DD1E226" w14:textId="77777777" w:rsidR="004C6897" w:rsidRDefault="004C6897" w:rsidP="009F24BA">
            <w:pPr>
              <w:rPr>
                <w:b/>
                <w:bCs/>
              </w:rPr>
            </w:pPr>
            <w:r w:rsidRPr="009A4751">
              <w:rPr>
                <w:b/>
                <w:bCs/>
              </w:rPr>
              <w:t>A process by which the 10,000 numbers in a Central Office (CO) Code (NPA-NXX) are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separated into ten sequential blocks of 1,000 numbers each (Thousands-Block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NPANXX-X)),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ten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thousand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Telephone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Numbers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(TN)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within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continue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be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associated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with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same</w:t>
            </w:r>
            <w:r>
              <w:rPr>
                <w:b/>
                <w:bCs/>
              </w:rPr>
              <w:t xml:space="preserve"> Exchange Area </w:t>
            </w:r>
            <w:r w:rsidRPr="009A4751">
              <w:rPr>
                <w:b/>
                <w:bCs/>
              </w:rPr>
              <w:t>designation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(i.e.,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V&amp;H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coordinates),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but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can</w:t>
            </w:r>
            <w:r>
              <w:rPr>
                <w:b/>
                <w:bCs/>
              </w:rPr>
              <w:t xml:space="preserve"> b</w:t>
            </w:r>
            <w:r w:rsidRPr="009A475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distributed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among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multiple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Service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Providers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(SP)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t</w:t>
            </w:r>
            <w:r w:rsidRPr="009A4751">
              <w:rPr>
                <w:b/>
                <w:bCs/>
              </w:rPr>
              <w:t>he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Thousands-Block</w:t>
            </w:r>
            <w:r>
              <w:rPr>
                <w:b/>
                <w:bCs/>
              </w:rPr>
              <w:t xml:space="preserve"> </w:t>
            </w:r>
            <w:r w:rsidRPr="009A4751">
              <w:rPr>
                <w:b/>
                <w:bCs/>
              </w:rPr>
              <w:t>level.</w:t>
            </w:r>
          </w:p>
        </w:tc>
      </w:tr>
      <w:tr w:rsidR="004C6897" w14:paraId="46F454A5" w14:textId="77777777" w:rsidTr="009F24BA">
        <w:tc>
          <w:tcPr>
            <w:tcW w:w="2689" w:type="dxa"/>
          </w:tcPr>
          <w:p w14:paraId="7FBABEFE" w14:textId="77777777" w:rsidR="004C6897" w:rsidRPr="00205730" w:rsidRDefault="004C6897" w:rsidP="009F24BA">
            <w:pPr>
              <w:rPr>
                <w:b/>
                <w:bCs/>
              </w:rPr>
            </w:pPr>
            <w:r w:rsidRPr="00205730">
              <w:rPr>
                <w:b/>
                <w:bCs/>
              </w:rPr>
              <w:lastRenderedPageBreak/>
              <w:t>Thousands-Blocks Available</w:t>
            </w:r>
          </w:p>
          <w:p w14:paraId="3A3E2563" w14:textId="77777777" w:rsidR="004C6897" w:rsidRDefault="004C6897" w:rsidP="009F24BA">
            <w:pPr>
              <w:rPr>
                <w:b/>
                <w:bCs/>
              </w:rPr>
            </w:pPr>
            <w:r w:rsidRPr="00205730">
              <w:rPr>
                <w:b/>
                <w:bCs/>
              </w:rPr>
              <w:t>for Assignment</w:t>
            </w:r>
          </w:p>
        </w:tc>
        <w:tc>
          <w:tcPr>
            <w:tcW w:w="6661" w:type="dxa"/>
          </w:tcPr>
          <w:p w14:paraId="7D2D1E67" w14:textId="77777777" w:rsidR="004C6897" w:rsidRDefault="004C6897" w:rsidP="009F24BA">
            <w:pPr>
              <w:rPr>
                <w:b/>
                <w:bCs/>
              </w:rPr>
            </w:pPr>
            <w:r w:rsidRPr="003238CA">
              <w:rPr>
                <w:b/>
                <w:bCs/>
              </w:rPr>
              <w:t xml:space="preserve">Thousands-Blocks (NPA-NXX-Xs) within </w:t>
            </w:r>
            <w:r>
              <w:rPr>
                <w:b/>
                <w:bCs/>
              </w:rPr>
              <w:t>an Exchange Area Number Pool</w:t>
            </w:r>
            <w:r w:rsidRPr="003238CA">
              <w:rPr>
                <w:b/>
                <w:bCs/>
              </w:rPr>
              <w:t xml:space="preserve">, and which are Available for Assignment within the </w:t>
            </w:r>
            <w:r>
              <w:rPr>
                <w:b/>
                <w:bCs/>
              </w:rPr>
              <w:t>Exchange Area</w:t>
            </w:r>
            <w:r w:rsidRPr="003238CA">
              <w:rPr>
                <w:b/>
                <w:bCs/>
              </w:rPr>
              <w:t>.</w:t>
            </w:r>
          </w:p>
        </w:tc>
      </w:tr>
      <w:tr w:rsidR="004C6897" w14:paraId="780EDF1D" w14:textId="77777777" w:rsidTr="009F24BA">
        <w:tc>
          <w:tcPr>
            <w:tcW w:w="2689" w:type="dxa"/>
          </w:tcPr>
          <w:p w14:paraId="26602844" w14:textId="77777777" w:rsidR="004C6897" w:rsidRPr="008C0AC8" w:rsidRDefault="004C6897" w:rsidP="009F24BA">
            <w:pPr>
              <w:rPr>
                <w:b/>
                <w:bCs/>
              </w:rPr>
            </w:pPr>
            <w:r w:rsidRPr="008C0AC8">
              <w:rPr>
                <w:b/>
                <w:bCs/>
              </w:rPr>
              <w:t>Thousands-Block</w:t>
            </w:r>
          </w:p>
          <w:p w14:paraId="51F588E0" w14:textId="77777777" w:rsidR="004C6897" w:rsidRPr="00205730" w:rsidRDefault="004C6897" w:rsidP="009F24BA">
            <w:pPr>
              <w:rPr>
                <w:b/>
                <w:bCs/>
              </w:rPr>
            </w:pPr>
            <w:r w:rsidRPr="008C0AC8">
              <w:rPr>
                <w:b/>
                <w:bCs/>
              </w:rPr>
              <w:t>Holder/Assignee</w:t>
            </w:r>
          </w:p>
        </w:tc>
        <w:tc>
          <w:tcPr>
            <w:tcW w:w="6661" w:type="dxa"/>
          </w:tcPr>
          <w:p w14:paraId="5390E0DA" w14:textId="77777777" w:rsidR="004C6897" w:rsidRPr="003238CA" w:rsidRDefault="004C6897" w:rsidP="009F24BA">
            <w:pPr>
              <w:rPr>
                <w:b/>
                <w:bCs/>
              </w:rPr>
            </w:pPr>
            <w:r w:rsidRPr="00CF1215">
              <w:rPr>
                <w:b/>
                <w:bCs/>
              </w:rPr>
              <w:t xml:space="preserve">The entity to which a Thousands-Block (NPA-NXX-X) has been </w:t>
            </w:r>
            <w:r>
              <w:rPr>
                <w:b/>
                <w:bCs/>
              </w:rPr>
              <w:t>a</w:t>
            </w:r>
            <w:r w:rsidRPr="00CF1215">
              <w:rPr>
                <w:b/>
                <w:bCs/>
              </w:rPr>
              <w:t>ssigned for use.</w:t>
            </w:r>
          </w:p>
        </w:tc>
      </w:tr>
      <w:tr w:rsidR="004C6897" w14:paraId="43146646" w14:textId="77777777" w:rsidTr="009F24BA">
        <w:tc>
          <w:tcPr>
            <w:tcW w:w="2689" w:type="dxa"/>
          </w:tcPr>
          <w:p w14:paraId="6D924628" w14:textId="77777777" w:rsidR="004C6897" w:rsidRPr="00A87433" w:rsidRDefault="004C6897" w:rsidP="009F24BA">
            <w:pPr>
              <w:rPr>
                <w:b/>
                <w:bCs/>
              </w:rPr>
            </w:pPr>
            <w:r w:rsidRPr="00A87433">
              <w:rPr>
                <w:b/>
                <w:bCs/>
              </w:rPr>
              <w:t>Thousands-Block Protection</w:t>
            </w:r>
            <w:r>
              <w:rPr>
                <w:b/>
                <w:bCs/>
              </w:rPr>
              <w:t xml:space="preserve"> </w:t>
            </w:r>
            <w:r w:rsidRPr="00A87433">
              <w:rPr>
                <w:b/>
                <w:bCs/>
              </w:rPr>
              <w:t>and Donation/Disconnect</w:t>
            </w:r>
          </w:p>
          <w:p w14:paraId="1F9A58A8" w14:textId="77777777" w:rsidR="004C6897" w:rsidRPr="008C0AC8" w:rsidRDefault="004C6897" w:rsidP="009F24BA">
            <w:pPr>
              <w:rPr>
                <w:b/>
                <w:bCs/>
              </w:rPr>
            </w:pPr>
            <w:r w:rsidRPr="00A87433">
              <w:rPr>
                <w:b/>
                <w:bCs/>
              </w:rPr>
              <w:t>Identification Date</w:t>
            </w:r>
          </w:p>
        </w:tc>
        <w:tc>
          <w:tcPr>
            <w:tcW w:w="6661" w:type="dxa"/>
          </w:tcPr>
          <w:p w14:paraId="7F47DCB3" w14:textId="77777777" w:rsidR="004C6897" w:rsidRDefault="004C6897" w:rsidP="009F24BA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51D65">
              <w:rPr>
                <w:b/>
                <w:bCs/>
              </w:rPr>
              <w:t>he deadline by which Service Providers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(SP) are required to protect Thousands-Blocks (NPA-NXX-X) with 0% up to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and including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 xml:space="preserve">10% Contamination from further </w:t>
            </w:r>
            <w:r>
              <w:rPr>
                <w:b/>
                <w:bCs/>
              </w:rPr>
              <w:t>C</w:t>
            </w:r>
            <w:r w:rsidRPr="00051D65">
              <w:rPr>
                <w:b/>
                <w:bCs/>
              </w:rPr>
              <w:t>ontamination and identify their surplus of</w:t>
            </w:r>
            <w:r>
              <w:rPr>
                <w:b/>
                <w:bCs/>
              </w:rPr>
              <w:t xml:space="preserve"> T</w:t>
            </w:r>
            <w:r w:rsidRPr="00051D65">
              <w:rPr>
                <w:b/>
                <w:bCs/>
              </w:rPr>
              <w:t>housands</w:t>
            </w:r>
            <w:r>
              <w:rPr>
                <w:b/>
                <w:bCs/>
              </w:rPr>
              <w:t>-</w:t>
            </w:r>
            <w:r w:rsidRPr="00051D65">
              <w:rPr>
                <w:b/>
                <w:bCs/>
              </w:rPr>
              <w:t>Blocks.</w:t>
            </w:r>
            <w:r>
              <w:rPr>
                <w:b/>
                <w:bCs/>
              </w:rPr>
              <w:t xml:space="preserve">  </w:t>
            </w:r>
            <w:r w:rsidRPr="00051D65">
              <w:rPr>
                <w:b/>
                <w:bCs/>
              </w:rPr>
              <w:t>This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also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when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SPs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may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begin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port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Telephone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Numbers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(TN)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contaminated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Thousands-Blocks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that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they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are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donating/returning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an Exchange area Number Pool</w:t>
            </w:r>
            <w:r w:rsidRPr="00051D65">
              <w:rPr>
                <w:b/>
                <w:bCs/>
              </w:rPr>
              <w:t>.</w:t>
            </w:r>
          </w:p>
          <w:p w14:paraId="02EABDA9" w14:textId="77777777" w:rsidR="004C6897" w:rsidRDefault="004C6897" w:rsidP="009F24BA">
            <w:pPr>
              <w:rPr>
                <w:b/>
                <w:bCs/>
              </w:rPr>
            </w:pPr>
          </w:p>
          <w:p w14:paraId="027AAEFA" w14:textId="77777777" w:rsidR="004C6897" w:rsidRPr="00051D65" w:rsidRDefault="004C6897" w:rsidP="009F24BA">
            <w:pPr>
              <w:rPr>
                <w:b/>
                <w:bCs/>
              </w:rPr>
            </w:pPr>
            <w:r w:rsidRPr="00051D65">
              <w:rPr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Thousands-Blocks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be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donated/returned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shall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have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associated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Central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Office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(CO)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(NPA-NXX)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opened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Portability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Administration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Center</w:t>
            </w:r>
            <w:r>
              <w:rPr>
                <w:b/>
                <w:bCs/>
              </w:rPr>
              <w:t xml:space="preserve"> </w:t>
            </w:r>
          </w:p>
          <w:p w14:paraId="3797513D" w14:textId="77777777" w:rsidR="004C6897" w:rsidRPr="00CF1215" w:rsidRDefault="004C6897" w:rsidP="009F24BA">
            <w:pPr>
              <w:rPr>
                <w:b/>
                <w:bCs/>
              </w:rPr>
            </w:pPr>
            <w:r w:rsidRPr="00051D65">
              <w:rPr>
                <w:b/>
                <w:bCs/>
              </w:rPr>
              <w:t>(NPAC)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marked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portable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Pr="00051D65">
              <w:rPr>
                <w:b/>
                <w:bCs/>
              </w:rPr>
              <w:t>BIRRDS.</w:t>
            </w:r>
          </w:p>
        </w:tc>
      </w:tr>
    </w:tbl>
    <w:p w14:paraId="00A46AD1" w14:textId="77777777" w:rsidR="004C6897" w:rsidRDefault="004C6897" w:rsidP="004C6897">
      <w:pPr>
        <w:spacing w:after="0" w:line="240" w:lineRule="auto"/>
        <w:rPr>
          <w:b/>
          <w:bCs/>
        </w:rPr>
      </w:pPr>
    </w:p>
    <w:p w14:paraId="13194A34" w14:textId="77777777" w:rsidR="002437FB" w:rsidRDefault="002437FB" w:rsidP="004C6897"/>
    <w:sectPr w:rsidR="002437FB" w:rsidSect="00080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8"/>
    <w:rsid w:val="0008047F"/>
    <w:rsid w:val="002437FB"/>
    <w:rsid w:val="00252DCA"/>
    <w:rsid w:val="004766A8"/>
    <w:rsid w:val="004C6897"/>
    <w:rsid w:val="00955F9F"/>
    <w:rsid w:val="00B45172"/>
    <w:rsid w:val="00D27620"/>
    <w:rsid w:val="00D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9CA0"/>
  <w15:chartTrackingRefBased/>
  <w15:docId w15:val="{91C9D3FD-3C1B-4173-B9AC-98094F8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2DCA"/>
    <w:rPr>
      <w:rFonts w:ascii="Arial" w:hAnsi="Arial" w:cs="Times New Roman"/>
      <w:color w:val="000000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6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6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6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6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C689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29FCF-41FA-4353-B5CB-C29BCEE2FAE0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customXml/itemProps2.xml><?xml version="1.0" encoding="utf-8"?>
<ds:datastoreItem xmlns:ds="http://schemas.openxmlformats.org/officeDocument/2006/customXml" ds:itemID="{3346EB8C-136B-445C-9AE5-611C26F11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38C48-40B1-4D7D-9B7B-963266456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Kelly T. Walsh</cp:lastModifiedBy>
  <cp:revision>2</cp:revision>
  <dcterms:created xsi:type="dcterms:W3CDTF">2024-04-12T15:32:00Z</dcterms:created>
  <dcterms:modified xsi:type="dcterms:W3CDTF">2024-04-15T18:03:00Z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